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72DBB553" w:rsidR="009B1632" w:rsidRPr="00090765" w:rsidRDefault="00FB21BD" w:rsidP="00090765">
      <w:pPr>
        <w:pStyle w:val="NoSpacing"/>
        <w:jc w:val="right"/>
        <w:rPr>
          <w:sz w:val="28"/>
        </w:rPr>
      </w:pPr>
      <w:r>
        <w:rPr>
          <w:sz w:val="28"/>
        </w:rPr>
        <w:t>Argenis Jimenez Aguirre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3951E20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01B1C">
        <w:t>3</w:t>
      </w:r>
      <w:bookmarkStart w:id="0" w:name="_GoBack"/>
      <w:bookmarkEnd w:id="0"/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01B1C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395290"/>
    <w:rsid w:val="003F4D5A"/>
    <w:rsid w:val="004901E7"/>
    <w:rsid w:val="004F4DFB"/>
    <w:rsid w:val="00585BA6"/>
    <w:rsid w:val="00691A52"/>
    <w:rsid w:val="00701B1C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  <w:rsid w:val="00F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Argenis Jimenez</cp:lastModifiedBy>
  <cp:revision>3</cp:revision>
  <dcterms:created xsi:type="dcterms:W3CDTF">2018-02-25T21:00:00Z</dcterms:created>
  <dcterms:modified xsi:type="dcterms:W3CDTF">2018-04-05T06:16:00Z</dcterms:modified>
</cp:coreProperties>
</file>