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2342"/>
          <w:sz w:val="52"/>
          <w:szCs w:val="52"/>
        </w:rPr>
        <w:t xml:space="preserve">MedCore Health Network</w:t>
      </w:r>
    </w:p>
    <w:p>
      <w:pPr>
        <w:spacing w:after="120" w:before="0"/>
        <w:jc w:val="center"/>
      </w:pPr>
      <w:r>
        <w:rPr>
          <w:rFonts w:ascii="Arial" w:cs="Arial" w:eastAsia="Arial" w:hAnsi="Arial"/>
          <w:color w:val="1B6CA8"/>
          <w:sz w:val="36"/>
          <w:szCs w:val="36"/>
        </w:rPr>
        <w:t xml:space="preserve">Clinical Supply Chain Waste Intelligence Platform</w:t>
      </w:r>
    </w:p>
    <w:p>
      <w:pPr>
        <w:spacing w:after="120" w:before="0"/>
        <w:jc w:val="center"/>
      </w:pPr>
      <w:r>
        <w:rPr>
          <w:rFonts w:ascii="Arial" w:cs="Arial" w:eastAsia="Arial" w:hAnsi="Arial"/>
          <w:b/>
          <w:bCs/>
          <w:color w:val="00C4B4"/>
          <w:sz w:val="24"/>
          <w:szCs w:val="24"/>
        </w:rPr>
        <w:t xml:space="preserve">CLIENT BRIEF &amp; DASHBOARD REQUIREMENTS DOCUMENT</w:t>
      </w:r>
    </w:p>
    <w:p>
      <w:pPr>
        <w:spacing w:after="80" w:before="0"/>
        <w:jc w:val="center"/>
      </w:pPr>
      <w:r>
        <w:rPr>
          <w:rFonts w:ascii="Arial" w:cs="Arial" w:eastAsia="Arial" w:hAnsi="Arial"/>
          <w:color w:val="888888"/>
          <w:sz w:val="20"/>
          <w:szCs w:val="20"/>
        </w:rPr>
        <w:t xml:space="preserve">Version 1.0  |  June 2025  |  Confidential</w:t>
      </w:r>
    </w:p>
    <w:p>
      <w:pPr>
        <w:spacing w:after="2880" w:before="0"/>
        <w:jc w:val="center"/>
      </w:pPr>
      <w:r>
        <w:rPr>
          <w:rFonts w:ascii="Arial" w:cs="Arial" w:eastAsia="Arial" w:hAnsi="Arial"/>
          <w:color w:val="444444"/>
          <w:sz w:val="20"/>
          <w:szCs w:val="20"/>
        </w:rPr>
        <w:t xml:space="preserve">Prepared for: Analytics Engineering Team</w:t>
      </w:r>
    </w:p>
    <w:p>
      <w:r>
        <w:br w:type="page"/>
      </w:r>
    </w:p>
    <w:p>
      <w:pPr>
        <w:pStyle w:val="Heading1"/>
        <w:spacing w:after="120" w:before="360"/>
      </w:pPr>
      <w:r>
        <w:rPr>
          <w:rFonts w:ascii="Arial" w:cs="Arial" w:eastAsia="Arial" w:hAnsi="Arial"/>
          <w:b/>
          <w:bCs/>
          <w:color w:val="0A2342"/>
          <w:sz w:val="32"/>
          <w:szCs w:val="32"/>
        </w:rPr>
        <w:t xml:space="preserve">1. Company Overview</w:t>
      </w:r>
    </w:p>
    <w:p>
      <w:pPr>
        <w:spacing w:after="80" w:before="80"/>
      </w:pPr>
      <w:r>
        <w:rPr>
          <w:rFonts w:ascii="Arial" w:cs="Arial" w:eastAsia="Arial" w:hAnsi="Arial"/>
          <w:sz w:val="22"/>
          <w:szCs w:val="22"/>
        </w:rPr>
        <w:t xml:space="preserve">MedCore Health Network is a mid-size regional hospital network operating across 5 hospitals and 7 specialized ward types in the greater metropolitan area. The network employs over 3,200 healthcare professionals and manages procurement for pharmaceutical supplies, surgical equipment, diagnostic kits, IV fluids, and PPE across all locations.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Company</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MedCore Health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 / Hospital Management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Locations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5 Hospitals across metro region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Ward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ICU, Emergency, Oncology, Cardiology, Orthopedics, Pharmacy Store, General Ward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Suppliers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5 approved medical suppliers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Categories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Pharmaceutical, Surgical Supply, Diagnostic Kit, IV Fluid, PPE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Annual Procurement</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~$15M across all categories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2024 – May 2025</w:t>
            </w:r>
          </w:p>
        </w:tc>
      </w:tr>
    </w:tbl>
    <w:p>
      <w:pPr>
        <w:spacing w:before="240"/>
      </w:pPr>
    </w:p>
    <w:p>
      <w:pPr>
        <w:pStyle w:val="Heading1"/>
        <w:spacing w:after="120" w:before="360"/>
      </w:pPr>
      <w:r>
        <w:rPr>
          <w:rFonts w:ascii="Arial" w:cs="Arial" w:eastAsia="Arial" w:hAnsi="Arial"/>
          <w:b/>
          <w:bCs/>
          <w:color w:val="0A2342"/>
          <w:sz w:val="32"/>
          <w:szCs w:val="32"/>
        </w:rPr>
        <w:t xml:space="preserve">2. Business Problem Statement</w:t>
      </w:r>
    </w:p>
    <w:p>
      <w:pPr>
        <w:spacing w:after="80" w:before="80"/>
      </w:pPr>
      <w:r>
        <w:rPr>
          <w:rFonts w:ascii="Arial" w:cs="Arial" w:eastAsia="Arial" w:hAnsi="Arial"/>
          <w:sz w:val="22"/>
          <w:szCs w:val="22"/>
        </w:rPr>
        <w:t xml:space="preserve">MedCore Health Network is currently experiencing significant financial losses due to unmanaged supply chain waste. The key issues identified by the CFO and Supply Chain Director are:</w:t>
      </w:r>
    </w:p>
    <w:p>
      <w:pPr>
        <w:spacing w:before="80"/>
      </w:pPr>
    </w:p>
    <w:p>
      <w:pPr>
        <w:pStyle w:val="ListParagraph"/>
        <w:numPr>
          <w:ilvl w:val="0"/>
          <w:numId w:val="2"/>
        </w:numPr>
        <w:spacing w:after="40" w:before="40"/>
      </w:pPr>
      <w:r>
        <w:rPr>
          <w:rFonts w:ascii="Arial" w:cs="Arial" w:eastAsia="Arial" w:hAnsi="Arial"/>
          <w:sz w:val="22"/>
          <w:szCs w:val="22"/>
        </w:rPr>
        <w:t xml:space="preserve">Pharmaceutical and medical supplies are expiring before consumption, resulting in direct financial write-offs</w:t>
      </w:r>
    </w:p>
    <w:p>
      <w:pPr>
        <w:pStyle w:val="ListParagraph"/>
        <w:numPr>
          <w:ilvl w:val="0"/>
          <w:numId w:val="2"/>
        </w:numPr>
        <w:spacing w:after="40" w:before="40"/>
      </w:pPr>
      <w:r>
        <w:rPr>
          <w:rFonts w:ascii="Arial" w:cs="Arial" w:eastAsia="Arial" w:hAnsi="Arial"/>
          <w:sz w:val="22"/>
          <w:szCs w:val="22"/>
        </w:rPr>
        <w:t xml:space="preserve">No centralized visibility into which hospitals or wards are generating the most waste</w:t>
      </w:r>
    </w:p>
    <w:p>
      <w:pPr>
        <w:pStyle w:val="ListParagraph"/>
        <w:numPr>
          <w:ilvl w:val="0"/>
          <w:numId w:val="2"/>
        </w:numPr>
        <w:spacing w:after="40" w:before="40"/>
      </w:pPr>
      <w:r>
        <w:rPr>
          <w:rFonts w:ascii="Arial" w:cs="Arial" w:eastAsia="Arial" w:hAnsi="Arial"/>
          <w:sz w:val="22"/>
          <w:szCs w:val="22"/>
        </w:rPr>
        <w:t xml:space="preserve">Supplier performance in terms of shelf life and expiry rates is not being tracked</w:t>
      </w:r>
    </w:p>
    <w:p>
      <w:pPr>
        <w:pStyle w:val="ListParagraph"/>
        <w:numPr>
          <w:ilvl w:val="0"/>
          <w:numId w:val="2"/>
        </w:numPr>
        <w:spacing w:after="40" w:before="40"/>
      </w:pPr>
      <w:r>
        <w:rPr>
          <w:rFonts w:ascii="Arial" w:cs="Arial" w:eastAsia="Arial" w:hAnsi="Arial"/>
          <w:sz w:val="22"/>
          <w:szCs w:val="22"/>
        </w:rPr>
        <w:t xml:space="preserve">Procurement decisions are made without data on remaining stock quantities or expiry timelines</w:t>
      </w:r>
    </w:p>
    <w:p>
      <w:pPr>
        <w:pStyle w:val="ListParagraph"/>
        <w:numPr>
          <w:ilvl w:val="0"/>
          <w:numId w:val="2"/>
        </w:numPr>
        <w:spacing w:after="40" w:before="40"/>
      </w:pPr>
      <w:r>
        <w:rPr>
          <w:rFonts w:ascii="Arial" w:cs="Arial" w:eastAsia="Arial" w:hAnsi="Arial"/>
          <w:sz w:val="22"/>
          <w:szCs w:val="22"/>
        </w:rPr>
        <w:t xml:space="preserve">Manual monthly reporting takes 3-5 days and is prone to human error</w:t>
      </w:r>
    </w:p>
    <w:p>
      <w:pPr>
        <w:spacing w:before="120"/>
      </w:pPr>
    </w:p>
    <w:p>
      <w:pPr>
        <w:spacing w:after="80" w:before="80"/>
      </w:pPr>
      <w:r>
        <w:rPr>
          <w:rFonts w:ascii="Arial" w:cs="Arial" w:eastAsia="Arial" w:hAnsi="Arial"/>
          <w:b/>
          <w:bCs/>
          <w:color w:val="E74C3C"/>
          <w:sz w:val="22"/>
          <w:szCs w:val="22"/>
        </w:rPr>
        <w:t xml:space="preserve">Estimated annual waste: $10.80M across the network, with $7.75M in expired stock value.</w:t>
      </w:r>
    </w:p>
    <w:p>
      <w:pPr>
        <w:spacing w:before="240"/>
      </w:pPr>
    </w:p>
    <w:p>
      <w:pPr>
        <w:pStyle w:val="Heading1"/>
        <w:spacing w:after="120" w:before="360"/>
      </w:pPr>
      <w:r>
        <w:rPr>
          <w:rFonts w:ascii="Arial" w:cs="Arial" w:eastAsia="Arial" w:hAnsi="Arial"/>
          <w:b/>
          <w:bCs/>
          <w:color w:val="0A2342"/>
          <w:sz w:val="32"/>
          <w:szCs w:val="32"/>
        </w:rPr>
        <w:t xml:space="preserve">3.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7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Financial Visibility</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Quantify total waste in USD across all hospitals and time periods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Intelligence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which hospital and ward combination generates most waste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Supplier Accountability</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Track which supplier's products contribute most to waste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Risk Profiling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items expiring within 0-10 days for immediate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Trend Monitoring</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Monitor monthly waste trend to measure improvement over time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Reporting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manual monthly reports with automated pipeline 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240"/>
      </w:pPr>
    </w:p>
    <w:p>
      <w:pPr>
        <w:pStyle w:val="Heading1"/>
        <w:spacing w:after="120" w:before="360"/>
      </w:pPr>
      <w:r>
        <w:rPr>
          <w:rFonts w:ascii="Arial" w:cs="Arial" w:eastAsia="Arial" w:hAnsi="Arial"/>
          <w:b/>
          <w:bCs/>
          <w:color w:val="0A2342"/>
          <w:sz w:val="32"/>
          <w:szCs w:val="32"/>
        </w:rPr>
        <w:t xml:space="preserve">4. Stakeholder Requirements</w:t>
      </w:r>
    </w:p>
    <w:p>
      <w:pPr>
        <w:pStyle w:val="Heading2"/>
        <w:spacing w:after="80" w:before="240"/>
      </w:pPr>
      <w:r>
        <w:rPr>
          <w:rFonts w:ascii="Arial" w:cs="Arial" w:eastAsia="Arial" w:hAnsi="Arial"/>
          <w:b/>
          <w:bCs/>
          <w:color w:val="1B6CA8"/>
          <w:sz w:val="26"/>
          <w:szCs w:val="26"/>
        </w:rPr>
        <w:t xml:space="preserve">4.1 CFO – Chief Financial Officer</w:t>
      </w:r>
    </w:p>
    <w:p>
      <w:pPr>
        <w:pStyle w:val="ListParagraph"/>
        <w:numPr>
          <w:ilvl w:val="0"/>
          <w:numId w:val="2"/>
        </w:numPr>
        <w:spacing w:after="40" w:before="40"/>
      </w:pPr>
      <w:r>
        <w:rPr>
          <w:rFonts w:ascii="Arial" w:cs="Arial" w:eastAsia="Arial" w:hAnsi="Arial"/>
          <w:sz w:val="22"/>
          <w:szCs w:val="22"/>
        </w:rPr>
        <w:t xml:space="preserve">Total waste value in USD across the network (current month and YTD)</w:t>
      </w:r>
    </w:p>
    <w:p>
      <w:pPr>
        <w:pStyle w:val="ListParagraph"/>
        <w:numPr>
          <w:ilvl w:val="0"/>
          <w:numId w:val="2"/>
        </w:numPr>
        <w:spacing w:after="40" w:before="40"/>
      </w:pPr>
      <w:r>
        <w:rPr>
          <w:rFonts w:ascii="Arial" w:cs="Arial" w:eastAsia="Arial" w:hAnsi="Arial"/>
          <w:sz w:val="22"/>
          <w:szCs w:val="22"/>
        </w:rPr>
        <w:t xml:space="preserve">Expired stock value — direct financial loss already incurred</w:t>
      </w:r>
    </w:p>
    <w:p>
      <w:pPr>
        <w:pStyle w:val="ListParagraph"/>
        <w:numPr>
          <w:ilvl w:val="0"/>
          <w:numId w:val="2"/>
        </w:numPr>
        <w:spacing w:after="40" w:before="40"/>
      </w:pPr>
      <w:r>
        <w:rPr>
          <w:rFonts w:ascii="Arial" w:cs="Arial" w:eastAsia="Arial" w:hAnsi="Arial"/>
          <w:sz w:val="22"/>
          <w:szCs w:val="22"/>
        </w:rPr>
        <w:t xml:space="preserve">Monthly waste trend — is waste increasing or decreasing?</w:t>
      </w:r>
    </w:p>
    <w:p>
      <w:pPr>
        <w:pStyle w:val="ListParagraph"/>
        <w:numPr>
          <w:ilvl w:val="0"/>
          <w:numId w:val="2"/>
        </w:numPr>
        <w:spacing w:after="40" w:before="40"/>
      </w:pPr>
      <w:r>
        <w:rPr>
          <w:rFonts w:ascii="Arial" w:cs="Arial" w:eastAsia="Arial" w:hAnsi="Arial"/>
          <w:sz w:val="22"/>
          <w:szCs w:val="22"/>
        </w:rPr>
        <w:t xml:space="preserve">Waste as a percentage of total inventory value</w:t>
      </w:r>
    </w:p>
    <w:p>
      <w:pPr>
        <w:spacing w:before="120"/>
      </w:pPr>
    </w:p>
    <w:p>
      <w:pPr>
        <w:pStyle w:val="Heading2"/>
        <w:spacing w:after="80" w:before="240"/>
      </w:pPr>
      <w:r>
        <w:rPr>
          <w:rFonts w:ascii="Arial" w:cs="Arial" w:eastAsia="Arial" w:hAnsi="Arial"/>
          <w:b/>
          <w:bCs/>
          <w:color w:val="1B6CA8"/>
          <w:sz w:val="26"/>
          <w:szCs w:val="26"/>
        </w:rPr>
        <w:t xml:space="preserve">4.2 Supply Chain Director</w:t>
      </w:r>
    </w:p>
    <w:p>
      <w:pPr>
        <w:pStyle w:val="ListParagraph"/>
        <w:numPr>
          <w:ilvl w:val="0"/>
          <w:numId w:val="2"/>
        </w:numPr>
        <w:spacing w:after="40" w:before="40"/>
      </w:pPr>
      <w:r>
        <w:rPr>
          <w:rFonts w:ascii="Arial" w:cs="Arial" w:eastAsia="Arial" w:hAnsi="Arial"/>
          <w:sz w:val="22"/>
          <w:szCs w:val="22"/>
        </w:rPr>
        <w:t xml:space="preserve">Hospital-level waste breakdown — which location is worst?</w:t>
      </w:r>
    </w:p>
    <w:p>
      <w:pPr>
        <w:pStyle w:val="ListParagraph"/>
        <w:numPr>
          <w:ilvl w:val="0"/>
          <w:numId w:val="2"/>
        </w:numPr>
        <w:spacing w:after="40" w:before="40"/>
      </w:pPr>
      <w:r>
        <w:rPr>
          <w:rFonts w:ascii="Arial" w:cs="Arial" w:eastAsia="Arial" w:hAnsi="Arial"/>
          <w:sz w:val="22"/>
          <w:szCs w:val="22"/>
        </w:rPr>
        <w:t xml:space="preserve">Ward-level waste heatmap — Hospital x Ward matrix view</w:t>
      </w:r>
    </w:p>
    <w:p>
      <w:pPr>
        <w:pStyle w:val="ListParagraph"/>
        <w:numPr>
          <w:ilvl w:val="0"/>
          <w:numId w:val="2"/>
        </w:numPr>
        <w:spacing w:after="40" w:before="40"/>
      </w:pPr>
      <w:r>
        <w:rPr>
          <w:rFonts w:ascii="Arial" w:cs="Arial" w:eastAsia="Arial" w:hAnsi="Arial"/>
          <w:sz w:val="22"/>
          <w:szCs w:val="22"/>
        </w:rPr>
        <w:t xml:space="preserve">At-risk items (expiring in 11-30 days) — intervention window</w:t>
      </w:r>
    </w:p>
    <w:p>
      <w:pPr>
        <w:pStyle w:val="ListParagraph"/>
        <w:numPr>
          <w:ilvl w:val="0"/>
          <w:numId w:val="2"/>
        </w:numPr>
        <w:spacing w:after="40" w:before="40"/>
      </w:pPr>
      <w:r>
        <w:rPr>
          <w:rFonts w:ascii="Arial" w:cs="Arial" w:eastAsia="Arial" w:hAnsi="Arial"/>
          <w:sz w:val="22"/>
          <w:szCs w:val="22"/>
        </w:rPr>
        <w:t xml:space="preserve">Critical zone items (expiring in 0-10 days) — immediate action required</w:t>
      </w:r>
    </w:p>
    <w:p>
      <w:pPr>
        <w:spacing w:before="120"/>
      </w:pPr>
    </w:p>
    <w:p>
      <w:pPr>
        <w:pStyle w:val="Heading2"/>
        <w:spacing w:after="80" w:before="240"/>
      </w:pPr>
      <w:r>
        <w:rPr>
          <w:rFonts w:ascii="Arial" w:cs="Arial" w:eastAsia="Arial" w:hAnsi="Arial"/>
          <w:b/>
          <w:bCs/>
          <w:color w:val="1B6CA8"/>
          <w:sz w:val="26"/>
          <w:szCs w:val="26"/>
        </w:rPr>
        <w:t xml:space="preserve">4.3 Procurement Head</w:t>
      </w:r>
    </w:p>
    <w:p>
      <w:pPr>
        <w:pStyle w:val="ListParagraph"/>
        <w:numPr>
          <w:ilvl w:val="0"/>
          <w:numId w:val="2"/>
        </w:numPr>
        <w:spacing w:after="40" w:before="40"/>
      </w:pPr>
      <w:r>
        <w:rPr>
          <w:rFonts w:ascii="Arial" w:cs="Arial" w:eastAsia="Arial" w:hAnsi="Arial"/>
          <w:sz w:val="22"/>
          <w:szCs w:val="22"/>
        </w:rPr>
        <w:t xml:space="preserve">Supplier-wise waste contribution — which supplier to review contracts with?</w:t>
      </w:r>
    </w:p>
    <w:p>
      <w:pPr>
        <w:pStyle w:val="ListParagraph"/>
        <w:numPr>
          <w:ilvl w:val="0"/>
          <w:numId w:val="2"/>
        </w:numPr>
        <w:spacing w:after="40" w:before="40"/>
      </w:pPr>
      <w:r>
        <w:rPr>
          <w:rFonts w:ascii="Arial" w:cs="Arial" w:eastAsia="Arial" w:hAnsi="Arial"/>
          <w:sz w:val="22"/>
          <w:szCs w:val="22"/>
        </w:rPr>
        <w:t xml:space="preserve">Top items by waste value — which items to reduce order quantities for?</w:t>
      </w:r>
    </w:p>
    <w:p>
      <w:pPr>
        <w:pStyle w:val="ListParagraph"/>
        <w:numPr>
          <w:ilvl w:val="0"/>
          <w:numId w:val="2"/>
        </w:numPr>
        <w:spacing w:after="40" w:before="40"/>
      </w:pPr>
      <w:r>
        <w:rPr>
          <w:rFonts w:ascii="Arial" w:cs="Arial" w:eastAsia="Arial" w:hAnsi="Arial"/>
          <w:sz w:val="22"/>
          <w:szCs w:val="22"/>
        </w:rPr>
        <w:t xml:space="preserve">Category-wise waste distribution — which supply category is highest risk?</w:t>
      </w:r>
    </w:p>
    <w:p>
      <w:pPr>
        <w:pStyle w:val="ListParagraph"/>
        <w:numPr>
          <w:ilvl w:val="0"/>
          <w:numId w:val="2"/>
        </w:numPr>
        <w:spacing w:after="40" w:before="40"/>
      </w:pPr>
      <w:r>
        <w:rPr>
          <w:rFonts w:ascii="Arial" w:cs="Arial" w:eastAsia="Arial" w:hAnsi="Arial"/>
          <w:sz w:val="22"/>
          <w:szCs w:val="22"/>
        </w:rPr>
        <w:t xml:space="preserve">Critical zone count per supplier — accountability metric</w:t>
      </w:r>
    </w:p>
    <w:p>
      <w:pPr>
        <w:spacing w:before="240"/>
      </w:pPr>
    </w:p>
    <w:p>
      <w:pPr>
        <w:pStyle w:val="Heading1"/>
        <w:spacing w:after="120" w:before="360"/>
      </w:pPr>
      <w:r>
        <w:rPr>
          <w:rFonts w:ascii="Arial" w:cs="Arial" w:eastAsia="Arial" w:hAnsi="Arial"/>
          <w:b/>
          <w:bCs/>
          <w:color w:val="0A2342"/>
          <w:sz w:val="32"/>
          <w:szCs w:val="32"/>
        </w:rPr>
        <w:t xml:space="preserve">5.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KPI Name</w:t>
            </w:r>
          </w:p>
        </w:tc>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Source Table</w:t>
            </w:r>
          </w:p>
        </w:tc>
        <w:tc>
          <w:tcPr>
            <w:tcW w:type="dxa" w:w="19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Total Waste Value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SUM of waste_value_usd across all records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kpi_waste_summary</w:t>
            </w:r>
          </w:p>
        </w:tc>
        <w:tc>
          <w:tcPr>
            <w:tcW w:type="dxa" w:w="1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Expired Stock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cost x qty for expired items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kpi_waste_summary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CFO</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Critical Zone Count</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COUNT of items with days_until_expiry BETWEEN 0 AND 10</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kpi_waste_summary</w:t>
            </w:r>
          </w:p>
        </w:tc>
        <w:tc>
          <w:tcPr>
            <w:tcW w:type="dxa" w:w="1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Risk 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items with days_until_expiry BETWEEN 11 AND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kpi_waste_summary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Top Waste Hospital</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Hospital with highest total_waste_usd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kpi_waste_by_location</w:t>
            </w:r>
          </w:p>
        </w:tc>
        <w:tc>
          <w:tcPr>
            <w:tcW w:type="dxa" w:w="1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Waste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waste_usd attributed per supplier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kpi_supplier_item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Category Concentration</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 of total waste by supply category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kpi_supplier_item</w:t>
            </w:r>
          </w:p>
        </w:tc>
        <w:tc>
          <w:tcPr>
            <w:tcW w:type="dxa" w:w="1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Procurement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Waste Trend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Month-over-month waste_value_usd movement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kpi_waste_summary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CFO</w:t>
            </w:r>
          </w:p>
        </w:tc>
      </w:tr>
    </w:tbl>
    <w:p>
      <w:pPr>
        <w:spacing w:before="240"/>
      </w:pPr>
    </w:p>
    <w:p>
      <w:pPr>
        <w:pStyle w:val="Heading1"/>
        <w:spacing w:after="120" w:before="360"/>
      </w:pPr>
      <w:r>
        <w:rPr>
          <w:rFonts w:ascii="Arial" w:cs="Arial" w:eastAsia="Arial" w:hAnsi="Arial"/>
          <w:b/>
          <w:bCs/>
          <w:color w:val="0A2342"/>
          <w:sz w:val="32"/>
          <w:szCs w:val="32"/>
        </w:rPr>
        <w:t xml:space="preserve">6. Dashboard Requirements</w:t>
      </w:r>
    </w:p>
    <w:p>
      <w:pPr>
        <w:pStyle w:val="Heading2"/>
        <w:spacing w:after="80" w:before="240"/>
      </w:pPr>
      <w:r>
        <w:rPr>
          <w:rFonts w:ascii="Arial" w:cs="Arial" w:eastAsia="Arial" w:hAnsi="Arial"/>
          <w:b/>
          <w:bCs/>
          <w:color w:val="1B6CA8"/>
          <w:sz w:val="26"/>
          <w:szCs w:val="26"/>
        </w:rPr>
        <w:t xml:space="preserve">6.1 Page 1 — Executive Overview</w:t>
      </w:r>
    </w:p>
    <w:p>
      <w:pPr>
        <w:spacing w:after="80" w:before="80"/>
      </w:pPr>
      <w:r>
        <w:rPr>
          <w:rFonts w:ascii="Arial" w:cs="Arial" w:eastAsia="Arial" w:hAnsi="Arial"/>
          <w:sz w:val="22"/>
          <w:szCs w:val="22"/>
        </w:rPr>
        <w:t xml:space="preserve">Purpose: Single-screen summary for CFO — highest level view of network-wide waste.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Total Waste Value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SUM(waste_value_usd)</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Red accent 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Expired Stock 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SUM(expired_stock_value_usd)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 accent border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Critical Zone Items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SUM(critical_zone_count)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Red accent 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Risk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SUM(at_risk_count)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 accent border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Monthly Waste Trend</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Line Chart</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procurement_month vs total_waste_usd</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Red line, markers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vs Inventory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 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(column) vs Inventory (line) by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 axis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Risk Distribution</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Expired / Critical / At Risk counts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3-color: Red/Amber/Blue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Banner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Box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insight in one 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 background, bottom strip</w:t>
            </w:r>
          </w:p>
        </w:tc>
      </w:tr>
    </w:tbl>
    <w:p>
      <w:pPr>
        <w:spacing w:before="160"/>
      </w:pPr>
    </w:p>
    <w:p>
      <w:pPr>
        <w:pStyle w:val="Heading2"/>
        <w:spacing w:after="80" w:before="240"/>
      </w:pPr>
      <w:r>
        <w:rPr>
          <w:rFonts w:ascii="Arial" w:cs="Arial" w:eastAsia="Arial" w:hAnsi="Arial"/>
          <w:b/>
          <w:bCs/>
          <w:color w:val="1B6CA8"/>
          <w:sz w:val="26"/>
          <w:szCs w:val="26"/>
        </w:rPr>
        <w:t xml:space="preserve">6.2 Page 2 — Location Intelligence</w:t>
      </w:r>
    </w:p>
    <w:p>
      <w:pPr>
        <w:spacing w:after="80" w:before="80"/>
      </w:pPr>
      <w:r>
        <w:rPr>
          <w:rFonts w:ascii="Arial" w:cs="Arial" w:eastAsia="Arial" w:hAnsi="Arial"/>
          <w:sz w:val="22"/>
          <w:szCs w:val="22"/>
        </w:rPr>
        <w:t xml:space="preserve">Purpose: Drill into hospital and ward-level waste patterns for Supply Chain Director.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Total Hospitals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DISTINCTCOUNT(hospital_name)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Navy accent 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Waste Hospital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TOPN(1) by waste_usd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 changes with filter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Total At Risk Items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SUM(at_risk_count)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Amber accent 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by Hospital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hospital_name vs total_waste_usd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Sorted descending, red bars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Waste by Ward</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Bar Chart</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ward vs total_waste_usd</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Sorted descending, blue bars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Heatmap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x Ward with conditional formatting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White-Amber-Red gradient</w:t>
            </w:r>
          </w:p>
        </w:tc>
      </w:tr>
    </w:tbl>
    <w:p>
      <w:pPr>
        <w:spacing w:before="160"/>
      </w:pPr>
    </w:p>
    <w:p>
      <w:pPr>
        <w:pStyle w:val="Heading2"/>
        <w:spacing w:after="80" w:before="240"/>
      </w:pPr>
      <w:r>
        <w:rPr>
          <w:rFonts w:ascii="Arial" w:cs="Arial" w:eastAsia="Arial" w:hAnsi="Arial"/>
          <w:b/>
          <w:bCs/>
          <w:color w:val="1B6CA8"/>
          <w:sz w:val="26"/>
          <w:szCs w:val="26"/>
        </w:rPr>
        <w:t xml:space="preserve">6.3 Page 3 — Supplier &amp; Item Risk</w:t>
      </w:r>
    </w:p>
    <w:p>
      <w:pPr>
        <w:spacing w:after="80" w:before="80"/>
      </w:pPr>
      <w:r>
        <w:rPr>
          <w:rFonts w:ascii="Arial" w:cs="Arial" w:eastAsia="Arial" w:hAnsi="Arial"/>
          <w:sz w:val="22"/>
          <w:szCs w:val="22"/>
        </w:rPr>
        <w:t xml:space="preserve">Purpose: Supplier accountability and item-level risk for Procurement Head.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Total Suppliers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DISTINCTCOUNT(supplier_name)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Navy accent 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Risk Supplier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TOPN(1) by waste_usd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 changes with filter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Critical Zone Items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SUM(critical_zone_count)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Red accent border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by Supplier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supplier_name vs total_waste_usd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Sorted descending, red bars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Top 8 Items by Waste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Bar Chart</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item_name vs total_waste_usd</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Sorted descending, blue bars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 by 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Donut Chart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vs total_waste_usd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categories, distinct colors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Supplier Risk Matrix</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Matrix</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Supplier x Category waste breakdown</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Conditional formatting</w:t>
            </w:r>
          </w:p>
        </w:tc>
      </w:tr>
    </w:tbl>
    <w:p>
      <w:pPr>
        <w:spacing w:before="240"/>
      </w:pPr>
    </w:p>
    <w:p>
      <w:pPr>
        <w:pStyle w:val="Heading1"/>
        <w:spacing w:after="120" w:before="360"/>
      </w:pPr>
      <w:r>
        <w:rPr>
          <w:rFonts w:ascii="Arial" w:cs="Arial" w:eastAsia="Arial" w:hAnsi="Arial"/>
          <w:b/>
          <w:bCs/>
          <w:color w:val="0A2342"/>
          <w:sz w:val="32"/>
          <w:szCs w:val="32"/>
        </w:rPr>
        <w:t xml:space="preserve">7. Color Schema &amp; Branding</w:t>
      </w:r>
    </w:p>
    <w:p>
      <w:pPr>
        <w:spacing w:after="80" w:before="80"/>
      </w:pPr>
      <w:r>
        <w:rPr>
          <w:rFonts w:ascii="Arial" w:cs="Arial" w:eastAsia="Arial" w:hAnsi="Arial"/>
          <w:sz w:val="22"/>
          <w:szCs w:val="22"/>
        </w:rPr>
        <w:t xml:space="preserve">All dashboard pages must follow the MedCore Health Network brand palette. The design must feel clinical, trustworthy, and executive-grade. Light background theme is mandatory for print-readiness and meeting room presentations.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Hex Code</w:t>
            </w:r>
          </w:p>
        </w:tc>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#0A2342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Navy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background, primary text, nav buttons</w:t>
            </w:r>
          </w:p>
        </w:tc>
      </w:tr>
      <w:tr>
        <w:tc>
          <w:tcPr>
            <w:tcW w:type="dxa" w:w="15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#1B6CA8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Clinical Blue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elements, column headers, inactive buttons</w:t>
            </w:r>
          </w:p>
        </w:tc>
      </w:tr>
      <w:tr>
        <w:tc>
          <w:tcPr>
            <w:tcW w:type="dxa" w:w="1500"/>
            <w:tcBorders>
              <w:top w:val="single" w:color="CCCCCC" w:sz="1"/>
              <w:left w:val="single" w:color="CCCCCC" w:sz="1"/>
              <w:bottom w:val="single" w:color="CCCCCC" w:sz="1"/>
              <w:right w:val="single" w:color="CCCCCC" w:sz="1"/>
            </w:tcBorders>
            <w:shd w:fill="00C4B4"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#00C4B4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color, subtitle text, border highlights</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#F4F6F9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Soft Grey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background — NOT pure white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#FFFFFF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backgrounds, chart plot areas</w:t>
            </w:r>
          </w:p>
        </w:tc>
      </w:tr>
      <w:tr>
        <w:tc>
          <w:tcPr>
            <w:tcW w:type="dxa" w:w="15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#E74C3C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Alert 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Waste values, expired items, critical zone indicators</w:t>
            </w:r>
          </w:p>
        </w:tc>
      </w:tr>
      <w:tr>
        <w:tc>
          <w:tcPr>
            <w:tcW w:type="dxa" w:w="15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#F39C12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Warning Amber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At-risk items, warning indicators, alert banner</w:t>
            </w:r>
          </w:p>
        </w:tc>
      </w:tr>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#2C3E50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Grey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 axis labels</w:t>
            </w:r>
          </w:p>
        </w:tc>
      </w:tr>
      <w:tr>
        <w:tc>
          <w:tcPr>
            <w:tcW w:type="dxa" w:w="15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sz w:val="22"/>
                <w:szCs w:val="22"/>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#27AE60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Safe Green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PPE category, low-risk indicators</w:t>
            </w:r>
          </w:p>
        </w:tc>
      </w:tr>
    </w:tbl>
    <w:p>
      <w:pPr>
        <w:spacing w:before="240"/>
      </w:pPr>
    </w:p>
    <w:p>
      <w:pPr>
        <w:pStyle w:val="Heading2"/>
        <w:spacing w:after="80" w:before="240"/>
      </w:pPr>
      <w:r>
        <w:rPr>
          <w:rFonts w:ascii="Arial" w:cs="Arial" w:eastAsia="Arial" w:hAnsi="Arial"/>
          <w:b/>
          <w:bCs/>
          <w:color w:val="1B6CA8"/>
          <w:sz w:val="26"/>
          <w:szCs w:val="26"/>
        </w:rPr>
        <w:t xml:space="preserve">7.1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500"/>
        <w:gridCol w:w="31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31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Dashboard Title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16pt</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Regular</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#FFFFFF on navy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Subtitle / 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#00C4B4</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Section Headings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13pt</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Bold</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#0A2342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Card 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#0A2342</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KPI Card Label</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11pt</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Regular</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#1B6CA8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 Titles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#0A2342</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Axis Labels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10pt</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Regular</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#2C3E50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Banner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#2C3E50 on amber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Navigation Buttons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Segoe UI</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10pt</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Bold</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White on navy (active)</w:t>
            </w:r>
          </w:p>
        </w:tc>
      </w:tr>
    </w:tbl>
    <w:p>
      <w:pPr>
        <w:spacing w:before="240"/>
      </w:pPr>
    </w:p>
    <w:p>
      <w:pPr>
        <w:pStyle w:val="Heading1"/>
        <w:spacing w:after="120" w:before="360"/>
      </w:pPr>
      <w:r>
        <w:rPr>
          <w:rFonts w:ascii="Arial" w:cs="Arial" w:eastAsia="Arial" w:hAnsi="Arial"/>
          <w:b/>
          <w:bCs/>
          <w:color w:val="0A2342"/>
          <w:sz w:val="32"/>
          <w:szCs w:val="32"/>
        </w:rPr>
        <w:t xml:space="preserve">8. Assumptions &amp; Constraints</w:t>
      </w:r>
    </w:p>
    <w:p>
      <w:pPr>
        <w:pStyle w:val="ListParagraph"/>
        <w:numPr>
          <w:ilvl w:val="0"/>
          <w:numId w:val="2"/>
        </w:numPr>
        <w:spacing w:after="40" w:before="40"/>
      </w:pPr>
      <w:r>
        <w:rPr>
          <w:rFonts w:ascii="Arial" w:cs="Arial" w:eastAsia="Arial" w:hAnsi="Arial"/>
          <w:sz w:val="22"/>
          <w:szCs w:val="22"/>
        </w:rPr>
        <w:t xml:space="preserve">Dataset is synthetic — generated to simulate realistic healthcare supply chain patterns</w:t>
      </w:r>
    </w:p>
    <w:p>
      <w:pPr>
        <w:pStyle w:val="ListParagraph"/>
        <w:numPr>
          <w:ilvl w:val="0"/>
          <w:numId w:val="2"/>
        </w:numPr>
        <w:spacing w:after="40" w:before="40"/>
      </w:pPr>
      <w:r>
        <w:rPr>
          <w:rFonts w:ascii="Arial" w:cs="Arial" w:eastAsia="Arial" w:hAnsi="Arial"/>
          <w:sz w:val="22"/>
          <w:szCs w:val="22"/>
        </w:rPr>
        <w:t xml:space="preserve">All monetary values are in USD</w:t>
      </w:r>
    </w:p>
    <w:p>
      <w:pPr>
        <w:pStyle w:val="ListParagraph"/>
        <w:numPr>
          <w:ilvl w:val="0"/>
          <w:numId w:val="2"/>
        </w:numPr>
        <w:spacing w:after="40" w:before="40"/>
      </w:pPr>
      <w:r>
        <w:rPr>
          <w:rFonts w:ascii="Arial" w:cs="Arial" w:eastAsia="Arial" w:hAnsi="Arial"/>
          <w:sz w:val="22"/>
          <w:szCs w:val="22"/>
        </w:rPr>
        <w:t xml:space="preserve">Reference date for expiry calculations is June 1, 2025</w:t>
      </w:r>
    </w:p>
    <w:p>
      <w:pPr>
        <w:pStyle w:val="ListParagraph"/>
        <w:numPr>
          <w:ilvl w:val="0"/>
          <w:numId w:val="2"/>
        </w:numPr>
        <w:spacing w:after="40" w:before="40"/>
      </w:pPr>
      <w:r>
        <w:rPr>
          <w:rFonts w:ascii="Arial" w:cs="Arial" w:eastAsia="Arial" w:hAnsi="Arial"/>
          <w:sz w:val="22"/>
          <w:szCs w:val="22"/>
        </w:rPr>
        <w:t xml:space="preserve">Dashboard must support DirectQuery mode — no manual refresh allowed</w:t>
      </w:r>
    </w:p>
    <w:p>
      <w:pPr>
        <w:pStyle w:val="ListParagraph"/>
        <w:numPr>
          <w:ilvl w:val="0"/>
          <w:numId w:val="2"/>
        </w:numPr>
        <w:spacing w:after="40" w:before="40"/>
      </w:pPr>
      <w:r>
        <w:rPr>
          <w:rFonts w:ascii="Arial" w:cs="Arial" w:eastAsia="Arial" w:hAnsi="Arial"/>
          <w:sz w:val="22"/>
          <w:szCs w:val="22"/>
        </w:rPr>
        <w:t xml:space="preserve">Pipeline must run automatically every Sunday at 10:00 AM IST</w:t>
      </w:r>
    </w:p>
    <w:p>
      <w:pPr>
        <w:pStyle w:val="ListParagraph"/>
        <w:numPr>
          <w:ilvl w:val="0"/>
          <w:numId w:val="2"/>
        </w:numPr>
        <w:spacing w:after="40" w:before="40"/>
      </w:pPr>
      <w:r>
        <w:rPr>
          <w:rFonts w:ascii="Arial" w:cs="Arial" w:eastAsia="Arial" w:hAnsi="Arial"/>
          <w:sz w:val="22"/>
          <w:szCs w:val="22"/>
        </w:rPr>
        <w:t xml:space="preserve">Dashboard must be printable — light background theme is mandatory</w:t>
      </w:r>
    </w:p>
    <w:p>
      <w:pPr>
        <w:pStyle w:val="ListParagraph"/>
        <w:numPr>
          <w:ilvl w:val="0"/>
          <w:numId w:val="2"/>
        </w:numPr>
        <w:spacing w:after="40" w:before="40"/>
      </w:pPr>
      <w:r>
        <w:rPr>
          <w:rFonts w:ascii="Arial" w:cs="Arial" w:eastAsia="Arial" w:hAnsi="Arial"/>
          <w:sz w:val="22"/>
          <w:szCs w:val="22"/>
        </w:rPr>
        <w:t xml:space="preserve">All 3 pages must share the same navigation panel with page buttons and month slicer</w:t>
      </w:r>
    </w:p>
    <w:p>
      <w:pPr>
        <w:pStyle w:val="ListParagraph"/>
        <w:numPr>
          <w:ilvl w:val="0"/>
          <w:numId w:val="2"/>
        </w:numPr>
        <w:spacing w:after="40" w:before="40"/>
      </w:pPr>
      <w:r>
        <w:rPr>
          <w:rFonts w:ascii="Arial" w:cs="Arial" w:eastAsia="Arial" w:hAnsi="Arial"/>
          <w:sz w:val="22"/>
          <w:szCs w:val="22"/>
        </w:rPr>
        <w:t xml:space="preserve">Conditional formatting gradient in heatmaps must use median as midpoint (not average)</w:t>
      </w:r>
    </w:p>
    <w:p>
      <w:pPr>
        <w:spacing w:before="240"/>
      </w:pPr>
    </w:p>
    <w:p>
      <w:pPr>
        <w:pStyle w:val="Heading1"/>
        <w:spacing w:after="120" w:before="360"/>
      </w:pPr>
      <w:r>
        <w:rPr>
          <w:rFonts w:ascii="Arial" w:cs="Arial" w:eastAsia="Arial" w:hAnsi="Arial"/>
          <w:b/>
          <w:bCs/>
          <w:color w:val="0A2342"/>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0A2342" w:sz="1"/>
              <w:left w:val="single" w:color="0A2342" w:sz="1"/>
              <w:bottom w:val="single" w:color="0A2342" w:sz="1"/>
              <w:right w:val="single" w:color="0A2342" w:sz="1"/>
            </w:tcBorders>
            <w:shd w:fill="0A2342"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Pipeline reliability</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100% successful runs</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Fabric Monitor — Pipeline run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load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seconds per page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performance analyzer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Updated within 24hrs of pipeline run</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DirectQuery live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SQL validation queries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Cross-check with analytics_queries.sql</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Stakeholder adoption</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Used in monthly CFO review</w:t>
            </w:r>
          </w:p>
        </w:tc>
        <w:tc>
          <w:tcPr>
            <w:tcW w:type="dxa" w:w="3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Power BI usage metrics</w:t>
            </w:r>
          </w:p>
        </w:tc>
      </w:tr>
    </w:tbl>
    <w:p>
      <w:pPr>
        <w:spacing w:before="240"/>
      </w:pPr>
    </w:p>
    <w:p>
      <w:pPr>
        <w:pStyle w:val="Heading1"/>
        <w:spacing w:after="120" w:before="360"/>
      </w:pPr>
      <w:r>
        <w:rPr>
          <w:rFonts w:ascii="Arial" w:cs="Arial" w:eastAsia="Arial" w:hAnsi="Arial"/>
          <w:b/>
          <w:bCs/>
          <w:color w:val="0A2342"/>
          <w:sz w:val="32"/>
          <w:szCs w:val="32"/>
        </w:rPr>
        <w:t xml:space="preserve">10. Deliverables</w:t>
      </w:r>
    </w:p>
    <w:p>
      <w:pPr>
        <w:pStyle w:val="ListParagraph"/>
        <w:numPr>
          <w:ilvl w:val="0"/>
          <w:numId w:val="2"/>
        </w:numPr>
        <w:spacing w:after="40" w:before="40"/>
      </w:pPr>
      <w:r>
        <w:rPr>
          <w:rFonts w:ascii="Arial" w:cs="Arial" w:eastAsia="Arial" w:hAnsi="Arial"/>
          <w:sz w:val="22"/>
          <w:szCs w:val="22"/>
        </w:rPr>
        <w:t xml:space="preserve">Microsoft Fabric Lakehouse with Medallion Architecture (Bronze / Silver / Gold)</w:t>
      </w:r>
    </w:p>
    <w:p>
      <w:pPr>
        <w:pStyle w:val="ListParagraph"/>
        <w:numPr>
          <w:ilvl w:val="0"/>
          <w:numId w:val="2"/>
        </w:numPr>
        <w:spacing w:after="40" w:before="40"/>
      </w:pPr>
      <w:r>
        <w:rPr>
          <w:rFonts w:ascii="Arial" w:cs="Arial" w:eastAsia="Arial" w:hAnsi="Arial"/>
          <w:sz w:val="22"/>
          <w:szCs w:val="22"/>
        </w:rPr>
        <w:t xml:space="preserve">2 Fabric Notebooks: nb_silver_transformation and nb_gold_kpi</w:t>
      </w:r>
    </w:p>
    <w:p>
      <w:pPr>
        <w:pStyle w:val="ListParagraph"/>
        <w:numPr>
          <w:ilvl w:val="0"/>
          <w:numId w:val="2"/>
        </w:numPr>
        <w:spacing w:after="40" w:before="40"/>
      </w:pPr>
      <w:r>
        <w:rPr>
          <w:rFonts w:ascii="Arial" w:cs="Arial" w:eastAsia="Arial" w:hAnsi="Arial"/>
          <w:sz w:val="22"/>
          <w:szCs w:val="22"/>
        </w:rPr>
        <w:t xml:space="preserve">1 Fabric Data Pipeline: pl_clinical_supply_chain (weekly scheduled)</w:t>
      </w:r>
    </w:p>
    <w:p>
      <w:pPr>
        <w:pStyle w:val="ListParagraph"/>
        <w:numPr>
          <w:ilvl w:val="0"/>
          <w:numId w:val="2"/>
        </w:numPr>
        <w:spacing w:after="40" w:before="40"/>
      </w:pPr>
      <w:r>
        <w:rPr>
          <w:rFonts w:ascii="Arial" w:cs="Arial" w:eastAsia="Arial" w:hAnsi="Arial"/>
          <w:sz w:val="22"/>
          <w:szCs w:val="22"/>
        </w:rPr>
        <w:t xml:space="preserve">3 Gold KPI Delta tables queryable via SQL Analytics Endpoint</w:t>
      </w:r>
    </w:p>
    <w:p>
      <w:pPr>
        <w:pStyle w:val="ListParagraph"/>
        <w:numPr>
          <w:ilvl w:val="0"/>
          <w:numId w:val="2"/>
        </w:numPr>
        <w:spacing w:after="40" w:before="40"/>
      </w:pPr>
      <w:r>
        <w:rPr>
          <w:rFonts w:ascii="Arial" w:cs="Arial" w:eastAsia="Arial" w:hAnsi="Arial"/>
          <w:sz w:val="22"/>
          <w:szCs w:val="22"/>
        </w:rPr>
        <w:t xml:space="preserve">3-page Power BI Executive Dashboard (DirectQuery)</w:t>
      </w:r>
    </w:p>
    <w:p>
      <w:pPr>
        <w:pStyle w:val="ListParagraph"/>
        <w:numPr>
          <w:ilvl w:val="0"/>
          <w:numId w:val="2"/>
        </w:numPr>
        <w:spacing w:after="40" w:before="40"/>
      </w:pPr>
      <w:r>
        <w:rPr>
          <w:rFonts w:ascii="Arial" w:cs="Arial" w:eastAsia="Arial" w:hAnsi="Arial"/>
          <w:sz w:val="22"/>
          <w:szCs w:val="22"/>
        </w:rPr>
        <w:t xml:space="preserve">GitHub repository with README, SQL scripts, architecture diagram, and dataset generator</w:t>
      </w:r>
    </w:p>
    <w:p>
      <w:pPr>
        <w:pStyle w:val="ListParagraph"/>
        <w:numPr>
          <w:ilvl w:val="0"/>
          <w:numId w:val="2"/>
        </w:numPr>
        <w:spacing w:after="40" w:before="40"/>
      </w:pPr>
      <w:r>
        <w:rPr>
          <w:rFonts w:ascii="Arial" w:cs="Arial" w:eastAsia="Arial" w:hAnsi="Arial"/>
          <w:sz w:val="22"/>
          <w:szCs w:val="22"/>
        </w:rPr>
        <w:t xml:space="preserve">This Client Brief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MedCore Health Network | Clinical Supply Chain Waste Intelligence | Confidential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234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6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2026-06-14T10:59:06.022Z</dcterms:created>
  <dcterms:modified xsi:type="dcterms:W3CDTF">2026-06-14T10:59:06.022Z</dcterms:modified>
</cp:coreProperties>
</file>

<file path=docProps/custom.xml><?xml version="1.0" encoding="utf-8"?>
<Properties xmlns="http://schemas.openxmlformats.org/officeDocument/2006/custom-properties" xmlns:vt="http://schemas.openxmlformats.org/officeDocument/2006/docPropsVTypes"/>
</file>