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color w:val="999999"/>
          <w:sz w:val="16"/>
          <w:szCs w:val="16"/>
          <w:highlight w:val="white"/>
        </w:rPr>
      </w:pPr>
      <w:bookmarkStart w:colFirst="0" w:colLast="0" w:name="_dxrcwlbfxvpt" w:id="0"/>
      <w:bookmarkEnd w:id="0"/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Machine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Learning Canvas</w:t>
      </w:r>
      <w:r w:rsidDel="00000000" w:rsidR="00000000" w:rsidRPr="00000000">
        <w:rPr>
          <w:sz w:val="32"/>
          <w:szCs w:val="32"/>
          <w:rtl w:val="0"/>
        </w:rPr>
        <w:t xml:space="preserve"> (v0.4)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trHeight w:val="4440" w:hRule="atLeast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b="0" l="0" r="0" t="0"/>
                  <wp:wrapSquare wrapText="bothSides" distB="114300" distT="114300" distL="114300" distR="11430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are predictions used to make decisions that provide the proposed value to the end-user?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 task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b="0" l="0" r="0" t="0"/>
                  <wp:wrapSquare wrapText="bothSides" distB="114300" distT="114300" distL="114300" distR="11430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Input, output to predict, type of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b="0" l="0" r="0" t="0"/>
                  <wp:wrapSquare wrapText="bothSides" distB="114300" distT="114300" distL="114300" distR="11430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are we trying to do for the end-user(s) of the predictive system? What objectives are we serving?</w:t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b="0" l="0" r="0" t="0"/>
                  <wp:wrapSquare wrapText="bothSides" distB="114300" distT="114300" distL="114300" distR="11430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Which raw data sources can we use (internal and external)?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Collecting Data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b="0" l="0" r="0" t="0"/>
                  <wp:wrapSquare wrapText="bothSides" distB="114300" distT="114300" distL="114300" distR="11430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do we get new data to learn from (inputs and outputs)?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0" w:hRule="atLeast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darkBlu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b="0" l="0" r="0" t="0"/>
                  <wp:wrapSquare wrapText="bothSides" distB="114300" distT="11430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make predictions on new inputs? How long do we have to featurize a new input and make a prediction?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Offline Evaluation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b="0" l="0" r="0" t="0"/>
                  <wp:wrapSquare wrapText="bothSides" distB="114300" distT="114300" distL="114300" distR="11430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before deployment.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b="0" l="0" r="0" t="0"/>
                  <wp:wrapSquare wrapText="bothSides" distB="114300" distT="114300" distL="114300" distR="11430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 representations extracted from raw data sources.</w:t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b="0" l="0" r="0" t="0"/>
                  <wp:wrapSquare wrapText="bothSides" distB="114300" distT="114300" distL="114300" distR="11430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create/update models with new training data? How long do we have to featurize training inputs and create a model?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Live Evaluation and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after deployment, and to quantify value creation. </w:t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b="0" l="0" r="0" t="0"/>
                  <wp:wrapSquare wrapText="bothSides" distB="114300" distT="114300" distL="114300" distR="11430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hyperlink r:id="rId16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m</w:t>
        </w:r>
      </w:hyperlink>
      <w:hyperlink r:id="rId17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achinelearningcanvas.com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by Louis Dorard, Ph.D. </w:t>
        <w:tab/>
        <w:t xml:space="preserve">      </w:t>
        <w:tab/>
        <w:tab/>
        <w:t xml:space="preserve">            </w:t>
      </w:r>
      <w:r w:rsidDel="00000000" w:rsidR="00000000" w:rsidRPr="00000000">
        <w:rPr>
          <w:sz w:val="16"/>
          <w:szCs w:val="16"/>
          <w:rtl w:val="0"/>
        </w:rPr>
        <w:t xml:space="preserve">Licensed under a Creative Commons Attribution-ShareAlike 4.0 International License.</w:t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b w:val="1"/>
          <w:sz w:val="32"/>
          <w:szCs w:val="32"/>
        </w:rPr>
      </w:pPr>
      <w:hyperlink r:id="rId2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Download the free guide to the Machine Learning Canvas!</w:t>
        </w:r>
      </w:hyperlink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13.png"/><Relationship Id="rId21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23" Type="http://schemas.openxmlformats.org/officeDocument/2006/relationships/hyperlink" Target="https://louisdorard.podia.com/machine-learning-canvas/buy?coupon=LOUISDORARD-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hyperlink" Target="http://www.machinelearningcanvas.com" TargetMode="External"/><Relationship Id="rId16" Type="http://schemas.openxmlformats.org/officeDocument/2006/relationships/hyperlink" Target="http://www.machinelearningcanvas.com" TargetMode="Externa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