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Indexing and Relevance</w:t>
        <w:br w:type="textWrapping"/>
        <w:t xml:space="preserve">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mfwe9u3g8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Index Construction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Write something about index construction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(Figure 1: Indexing &amp; Web-graph construction)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thkf3wryc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Web-Graph Statistics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link data passed to us, we assembled a directed graph of </w:t>
      </w:r>
      <w:r w:rsidDel="00000000" w:rsidR="00000000" w:rsidRPr="00000000">
        <w:rPr>
          <w:b w:val="1"/>
          <w:rtl w:val="0"/>
        </w:rPr>
        <w:t xml:space="preserve">100 000 nodes</w:t>
      </w:r>
      <w:r w:rsidDel="00000000" w:rsidR="00000000" w:rsidRPr="00000000">
        <w:rPr>
          <w:rtl w:val="0"/>
        </w:rPr>
        <w:t xml:space="preserve"> (web pages) and </w:t>
      </w:r>
      <w:r w:rsidDel="00000000" w:rsidR="00000000" w:rsidRPr="00000000">
        <w:rPr>
          <w:b w:val="1"/>
          <w:rtl w:val="0"/>
        </w:rPr>
        <w:t xml:space="preserve">~1.2 million edges</w:t>
      </w:r>
      <w:r w:rsidDel="00000000" w:rsidR="00000000" w:rsidRPr="00000000">
        <w:rPr>
          <w:rtl w:val="0"/>
        </w:rPr>
        <w:t xml:space="preserve"> (hyperlinks).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nodes (N):</w:t>
      </w:r>
      <w:r w:rsidDel="00000000" w:rsidR="00000000" w:rsidRPr="00000000">
        <w:rPr>
          <w:rtl w:val="0"/>
        </w:rPr>
        <w:t xml:space="preserve"> 100000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edges (L):</w:t>
      </w:r>
      <w:r w:rsidDel="00000000" w:rsidR="00000000" w:rsidRPr="00000000">
        <w:rPr>
          <w:rtl w:val="0"/>
        </w:rPr>
        <w:t xml:space="preserve"> 11741284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out-degree:</w:t>
      </w:r>
      <w:r w:rsidDel="00000000" w:rsidR="00000000" w:rsidRPr="00000000">
        <w:rPr>
          <w:rtl w:val="0"/>
        </w:rPr>
        <w:t xml:space="preserve"> 5627 (page with most outgoing links)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in-degree:</w:t>
      </w:r>
      <w:r w:rsidDel="00000000" w:rsidR="00000000" w:rsidRPr="00000000">
        <w:rPr>
          <w:rtl w:val="0"/>
        </w:rPr>
        <w:t xml:space="preserve"> 61849 (page with most incoming links)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graph underpins our link‐analysis relevance models.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hwamoloma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Connecting Index and Graph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posting in the inverted index carries a </w:t>
      </w:r>
      <w:r w:rsidDel="00000000" w:rsidR="00000000" w:rsidRPr="00000000">
        <w:rPr>
          <w:b w:val="1"/>
          <w:rtl w:val="0"/>
        </w:rPr>
        <w:t xml:space="preserve">docID</w:t>
      </w:r>
      <w:r w:rsidDel="00000000" w:rsidR="00000000" w:rsidRPr="00000000">
        <w:rPr>
          <w:rtl w:val="0"/>
        </w:rPr>
        <w:t xml:space="preserve">; that same docID is a node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web_graph</w:t>
      </w:r>
      <w:r w:rsidDel="00000000" w:rsidR="00000000" w:rsidRPr="00000000">
        <w:rPr>
          <w:rtl w:val="0"/>
        </w:rPr>
        <w:t xml:space="preserve">. When scoring a query, we: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Retrieve</w:t>
      </w:r>
      <w:r w:rsidDel="00000000" w:rsidR="00000000" w:rsidRPr="00000000">
        <w:rPr>
          <w:rtl w:val="0"/>
        </w:rPr>
        <w:t xml:space="preserve"> top N candidates by TF-IDF (vector‐space) from the inverted index.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induced subgraph on those docIDs (and their neighbors).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PageRank or HITS on that subgraph.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content and link signals for final ranking.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6jgs32sc8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Relevance Models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60y03fbkb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3.4.1 Vector-Space Model (TF-IDF + Cosine)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Weighting:</w:t>
        <w:br w:type="textWrapping"/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t,d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1+log</m:t>
            </m:r>
          </m:e>
          <m:sub>
            <m:r>
              <w:rPr/>
              <m:t xml:space="preserve">10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tf</m:t>
            </m:r>
          </m:e>
          <m:sub>
            <m:r>
              <w:rPr/>
              <m:t xml:space="preserve">t,d</m:t>
            </m:r>
          </m:sub>
        </m:sSub>
        <m:r>
          <w:rPr/>
          <m:t xml:space="preserve">)</m:t>
        </m:r>
        <m:r>
          <w:rPr/>
          <m:t>×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10</m:t>
            </m:r>
          </m:sub>
        </m:sSub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df</m:t>
                </m:r>
              </m:e>
              <m:sub>
                <m:r>
                  <w:rPr/>
                  <m:t xml:space="preserve">t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Similarity:</w:t>
      </w:r>
      <w:r w:rsidDel="00000000" w:rsidR="00000000" w:rsidRPr="00000000">
        <w:rPr>
          <w:rtl w:val="0"/>
        </w:rPr>
        <w:t xml:space="preserve"> cosine between query‐vector and document‐vector.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Normalization:</w:t>
      </w:r>
      <w:r w:rsidDel="00000000" w:rsidR="00000000" w:rsidRPr="00000000">
        <w:rPr>
          <w:rtl w:val="0"/>
        </w:rPr>
        <w:t xml:space="preserve"> unit‐length vectors to account for document length.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ar82y1o0f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3.4.2 Link-Analysis Models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Topic-Specific PageRank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Damping factor d=0.85.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set = TF-IDF top 50 plus their neighbors.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Ranks pages by “vote” of in-links within base set.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HITS (Hubs &amp; Authorities)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the same base set, computes: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Authority score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 = sum of hub scores from pages linking to p.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Hub score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= sum of authority scores of pages p links to.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Iterates until convergence (</w:t>
      </w:r>
      <m:oMath>
        <m:r>
          <w:rPr/>
          <m:t xml:space="preserve">tol=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-6</m:t>
            </m:r>
          </m:sup>
        </m:sSup>
      </m:oMath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Weighting schemes: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TF-IDF + PageRank: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score(p)=0.7⋅cos(p,q)+0.3⋅PR(p)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TF-IDF + HITS: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score(p)=0.5⋅cos(p,q)+0.3⋅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​+0.2⋅</w:t>
      </w: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7fszz3r8u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Examples of Link-Analysis Scores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query </w:t>
      </w:r>
      <w:r w:rsidDel="00000000" w:rsidR="00000000" w:rsidRPr="00000000">
        <w:rPr>
          <w:b w:val="1"/>
          <w:rtl w:val="0"/>
        </w:rPr>
        <w:t xml:space="preserve">“economic ideologies”</w:t>
      </w:r>
      <w:r w:rsidDel="00000000" w:rsidR="00000000" w:rsidRPr="00000000">
        <w:rPr>
          <w:rtl w:val="0"/>
        </w:rPr>
        <w:t xml:space="preserve"> on our 100 000-page graph:</w:t>
      </w:r>
    </w:p>
    <w:tbl>
      <w:tblPr>
        <w:tblStyle w:val="Table1"/>
        <w:tblW w:w="6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5"/>
        <w:gridCol w:w="3515"/>
        <w:gridCol w:w="1025"/>
        <w:gridCol w:w="1280"/>
        <w:tblGridChange w:id="0">
          <w:tblGrid>
            <w:gridCol w:w="785"/>
            <w:gridCol w:w="3515"/>
            <w:gridCol w:w="1025"/>
            <w:gridCol w:w="12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TF-IDF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PageRank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…/capitalism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0.00231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…/socialism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0.00198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…/history/economic-systems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0.00145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…/economics-basics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0.00140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…/capitalism-vs-socialism-debate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0.59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0.00105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for </w:t>
      </w:r>
      <w:r w:rsidDel="00000000" w:rsidR="00000000" w:rsidRPr="00000000">
        <w:rPr>
          <w:b w:val="1"/>
          <w:rtl w:val="0"/>
        </w:rPr>
        <w:t xml:space="preserve">HITS</w:t>
      </w:r>
      <w:r w:rsidDel="00000000" w:rsidR="00000000" w:rsidRPr="00000000">
        <w:rPr>
          <w:rtl w:val="0"/>
        </w:rPr>
        <w:t xml:space="preserve"> (top 3 authorities/hubs):</w:t>
      </w:r>
    </w:p>
    <w:tbl>
      <w:tblPr>
        <w:tblStyle w:val="Table2"/>
        <w:tblW w:w="5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"/>
        <w:gridCol w:w="1700"/>
        <w:gridCol w:w="1145"/>
        <w:tblGridChange w:id="0">
          <w:tblGrid>
            <w:gridCol w:w="2225"/>
            <w:gridCol w:w="1700"/>
            <w:gridCol w:w="114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Authority (</w:t>
            </w: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a</m:t>
                  </m:r>
                </m:e>
                <m:sub>
                  <m:r>
                    <w:rPr>
                      <w:b w:val="1"/>
                    </w:rPr>
                    <m:t xml:space="preserve">p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Hub (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h</m:t>
                  </m:r>
                </m:e>
                <m:sub>
                  <m:r>
                    <w:rPr/>
                    <m:t xml:space="preserve">p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…/capitalism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…/socialism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…/economics-basics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trud2tgv6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Collaboration &amp; Evaluation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Queries:</w:t>
      </w:r>
      <w:r w:rsidDel="00000000" w:rsidR="00000000" w:rsidRPr="00000000">
        <w:rPr>
          <w:rtl w:val="0"/>
        </w:rPr>
        <w:t xml:space="preserve"> We used </w:t>
      </w:r>
      <w:r w:rsidDel="00000000" w:rsidR="00000000" w:rsidRPr="00000000">
        <w:rPr>
          <w:b w:val="1"/>
          <w:rtl w:val="0"/>
        </w:rPr>
        <w:t xml:space="preserve">30 manually‐crafted</w:t>
      </w:r>
      <w:r w:rsidDel="00000000" w:rsidR="00000000" w:rsidRPr="00000000">
        <w:rPr>
          <w:rtl w:val="0"/>
        </w:rPr>
        <w:t xml:space="preserve"> queries (e.g., “capitalist policy,” “Marxist theory”) in collaboration with Aryan Solanki’s UI module.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Judgment:</w:t>
      </w:r>
      <w:r w:rsidDel="00000000" w:rsidR="00000000" w:rsidRPr="00000000">
        <w:rPr>
          <w:rtl w:val="0"/>
        </w:rPr>
        <w:t xml:space="preserve"> For each query, two team members assessed </w:t>
      </w:r>
      <w:r w:rsidDel="00000000" w:rsidR="00000000" w:rsidRPr="00000000">
        <w:rPr>
          <w:b w:val="1"/>
          <w:rtl w:val="0"/>
        </w:rPr>
        <w:t xml:space="preserve">precision@5</w:t>
      </w:r>
      <w:r w:rsidDel="00000000" w:rsidR="00000000" w:rsidRPr="00000000">
        <w:rPr>
          <w:rtl w:val="0"/>
        </w:rPr>
        <w:t xml:space="preserve"> against known‐relevant pages.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Clustering:</w:t>
      </w:r>
      <w:r w:rsidDel="00000000" w:rsidR="00000000" w:rsidRPr="00000000">
        <w:rPr>
          <w:rtl w:val="0"/>
        </w:rPr>
        <w:t xml:space="preserve"> Prafull’s results were sent to the clustering module (Aryan) for flat and agglomerative clustering; clusters were fed back to rerank within topical groups (see Section 5).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completes the </w:t>
      </w:r>
      <w:r w:rsidDel="00000000" w:rsidR="00000000" w:rsidRPr="00000000">
        <w:rPr>
          <w:b w:val="1"/>
          <w:rtl w:val="0"/>
        </w:rPr>
        <w:t xml:space="preserve">Indexing &amp; Relevance</w:t>
      </w:r>
      <w:r w:rsidDel="00000000" w:rsidR="00000000" w:rsidRPr="00000000">
        <w:rPr>
          <w:rtl w:val="0"/>
        </w:rPr>
        <w:t xml:space="preserve"> section, detailing how our inverted index and web graph were built, two core relevance models implemented, their weighting, example scores, and collaborative evaluation practices.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