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A64E1" w14:textId="77777777" w:rsidR="0056787C" w:rsidRDefault="00000000">
      <w:pPr>
        <w:spacing w:before="600" w:after="60"/>
      </w:pPr>
      <w:r>
        <w:rPr>
          <w:b/>
          <w:bCs/>
          <w:caps/>
          <w:color w:val="5E8A00"/>
        </w:rPr>
        <w:t>ARGOS INSIGHTS</w:t>
      </w:r>
    </w:p>
    <w:p w14:paraId="16EA64E2" w14:textId="77777777" w:rsidR="0056787C" w:rsidRDefault="00000000">
      <w:pPr>
        <w:spacing w:after="200"/>
      </w:pPr>
      <w:proofErr w:type="spellStart"/>
      <w:r>
        <w:rPr>
          <w:b/>
          <w:bCs/>
          <w:color w:val="111111"/>
          <w:sz w:val="56"/>
          <w:szCs w:val="56"/>
        </w:rPr>
        <w:t>Roadmap</w:t>
      </w:r>
      <w:proofErr w:type="spellEnd"/>
      <w:r>
        <w:rPr>
          <w:b/>
          <w:bCs/>
          <w:color w:val="111111"/>
          <w:sz w:val="56"/>
          <w:szCs w:val="56"/>
        </w:rPr>
        <w:t xml:space="preserve"> de aprendizaje</w:t>
      </w:r>
    </w:p>
    <w:p w14:paraId="16EA64E3" w14:textId="77777777" w:rsidR="0056787C" w:rsidRDefault="00000000">
      <w:pPr>
        <w:spacing w:after="500"/>
      </w:pPr>
      <w:r>
        <w:rPr>
          <w:color w:val="595959"/>
          <w:sz w:val="24"/>
          <w:szCs w:val="24"/>
        </w:rPr>
        <w:t>Todo lo que conviene manejar — técnico, financiero, contable y de negocio — para construir y operar la consultora.</w:t>
      </w:r>
    </w:p>
    <w:p w14:paraId="16EA64E4" w14:textId="77777777" w:rsidR="0056787C" w:rsidRDefault="00000000">
      <w:pPr>
        <w:spacing w:after="140"/>
      </w:pPr>
      <w:r>
        <w:rPr>
          <w:color w:val="222222"/>
          <w:sz w:val="21"/>
          <w:szCs w:val="21"/>
        </w:rPr>
        <w:t xml:space="preserve">Este documento organiza los conocimientos necesarios para Argos </w:t>
      </w:r>
      <w:proofErr w:type="spellStart"/>
      <w:r>
        <w:rPr>
          <w:color w:val="222222"/>
          <w:sz w:val="21"/>
          <w:szCs w:val="21"/>
        </w:rPr>
        <w:t>Insights</w:t>
      </w:r>
      <w:proofErr w:type="spellEnd"/>
      <w:r>
        <w:rPr>
          <w:color w:val="222222"/>
          <w:sz w:val="21"/>
          <w:szCs w:val="21"/>
        </w:rPr>
        <w:t xml:space="preserve"> en tres fases: lo fundacional para operar hoy, lo necesario para escalar el servicio, y lo que aplica cuando el negocio crece. No es necesario dominar todo antes de empezar — es un mapa para priorizar qué aprender primero y qué dejar para después.</w:t>
      </w:r>
    </w:p>
    <w:p w14:paraId="16EA64E5" w14:textId="77777777" w:rsidR="0056787C" w:rsidRDefault="0056787C">
      <w:pPr>
        <w:pBdr>
          <w:bottom w:val="single" w:sz="6" w:space="4" w:color="CCCCCC"/>
        </w:pBdr>
        <w:spacing w:after="400"/>
      </w:pPr>
    </w:p>
    <w:p w14:paraId="16EA64E6" w14:textId="77777777" w:rsidR="0056787C" w:rsidRDefault="00000000">
      <w:pPr>
        <w:pStyle w:val="Ttulo1"/>
        <w:pBdr>
          <w:bottom w:val="single" w:sz="8" w:space="4" w:color="5E8A00"/>
        </w:pBdr>
        <w:spacing w:before="400" w:after="160"/>
      </w:pPr>
      <w:r>
        <w:rPr>
          <w:b/>
          <w:bCs/>
          <w:color w:val="111111"/>
          <w:sz w:val="30"/>
          <w:szCs w:val="30"/>
        </w:rPr>
        <w:t>Fase 1 — Fundacional (primeros 1-3 meses)</w:t>
      </w:r>
    </w:p>
    <w:p w14:paraId="16EA64E7" w14:textId="77777777" w:rsidR="0056787C" w:rsidRDefault="00000000">
      <w:pPr>
        <w:spacing w:after="220"/>
      </w:pPr>
      <w:r>
        <w:rPr>
          <w:i/>
          <w:iCs/>
          <w:color w:val="595959"/>
          <w:sz w:val="21"/>
          <w:szCs w:val="21"/>
        </w:rPr>
        <w:t xml:space="preserve">Lo mínimo para diagnosticar a un cliente, construir el primer </w:t>
      </w:r>
      <w:proofErr w:type="spellStart"/>
      <w:r>
        <w:rPr>
          <w:i/>
          <w:iCs/>
          <w:color w:val="595959"/>
          <w:sz w:val="21"/>
          <w:szCs w:val="21"/>
        </w:rPr>
        <w:t>dashboard</w:t>
      </w:r>
      <w:proofErr w:type="spellEnd"/>
      <w:r>
        <w:rPr>
          <w:i/>
          <w:iCs/>
          <w:color w:val="595959"/>
          <w:sz w:val="21"/>
          <w:szCs w:val="21"/>
        </w:rPr>
        <w:t xml:space="preserve"> y operar el día a día sin depender de nadie más.</w:t>
      </w:r>
    </w:p>
    <w:p w14:paraId="16EA64E8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Finanzas y contabilidad esenciales</w:t>
      </w:r>
    </w:p>
    <w:p w14:paraId="16EA64E9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Flujo de </w:t>
      </w:r>
      <w:proofErr w:type="gramStart"/>
      <w:r>
        <w:rPr>
          <w:b/>
          <w:bCs/>
          <w:color w:val="111111"/>
          <w:sz w:val="21"/>
          <w:szCs w:val="21"/>
        </w:rPr>
        <w:t>caja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se proyecta, capital de trabajo, ciclo de conversión de efectivo (cuánto tarda la plata en volver desde que se gasta)</w:t>
      </w:r>
    </w:p>
    <w:p w14:paraId="16EA64EA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Devengado vs. </w:t>
      </w:r>
      <w:proofErr w:type="gramStart"/>
      <w:r>
        <w:rPr>
          <w:b/>
          <w:bCs/>
          <w:color w:val="111111"/>
          <w:sz w:val="21"/>
          <w:szCs w:val="21"/>
        </w:rPr>
        <w:t>percibido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la diferencia entre “facturado” y “cobrable” — el corazón del pitch de Argos</w:t>
      </w:r>
    </w:p>
    <w:p w14:paraId="16EA64EB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Cuentas por cobrar y </w:t>
      </w:r>
      <w:proofErr w:type="gramStart"/>
      <w:r>
        <w:rPr>
          <w:b/>
          <w:bCs/>
          <w:color w:val="111111"/>
          <w:sz w:val="21"/>
          <w:szCs w:val="21"/>
        </w:rPr>
        <w:t>DSO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Days Sales </w:t>
      </w:r>
      <w:proofErr w:type="spellStart"/>
      <w:r>
        <w:rPr>
          <w:color w:val="595959"/>
          <w:sz w:val="21"/>
          <w:szCs w:val="21"/>
        </w:rPr>
        <w:t>Outstanding</w:t>
      </w:r>
      <w:proofErr w:type="spellEnd"/>
      <w:r>
        <w:rPr>
          <w:color w:val="595959"/>
          <w:sz w:val="21"/>
          <w:szCs w:val="21"/>
        </w:rPr>
        <w:t>: cómo se calcula el plazo promedio real de cobro</w:t>
      </w:r>
    </w:p>
    <w:p w14:paraId="16EA64EC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Estados financieros </w:t>
      </w:r>
      <w:proofErr w:type="gramStart"/>
      <w:r>
        <w:rPr>
          <w:b/>
          <w:bCs/>
          <w:color w:val="111111"/>
          <w:sz w:val="21"/>
          <w:szCs w:val="21"/>
        </w:rPr>
        <w:t>básicos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balance general, estado de resultados y estado de flujo de efectivo — para leerlos, no auditarlos</w:t>
      </w:r>
    </w:p>
    <w:p w14:paraId="16EA64ED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Costos fijos vs. variables y punto de </w:t>
      </w:r>
      <w:proofErr w:type="gramStart"/>
      <w:r>
        <w:rPr>
          <w:b/>
          <w:bCs/>
          <w:color w:val="111111"/>
          <w:sz w:val="21"/>
          <w:szCs w:val="21"/>
        </w:rPr>
        <w:t>equilibrio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para entender la urgencia real de la caja de un cliente</w:t>
      </w:r>
    </w:p>
    <w:p w14:paraId="16EA64EE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proofErr w:type="gramStart"/>
      <w:r>
        <w:rPr>
          <w:b/>
          <w:bCs/>
          <w:color w:val="111111"/>
          <w:sz w:val="21"/>
          <w:szCs w:val="21"/>
        </w:rPr>
        <w:t>Factoring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funciona, qué tasas/comisiones cobra, cuándo conviene y cuándo no</w:t>
      </w:r>
    </w:p>
    <w:p w14:paraId="16EA64EF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>Confirming (</w:t>
      </w:r>
      <w:proofErr w:type="spellStart"/>
      <w:r>
        <w:rPr>
          <w:b/>
          <w:bCs/>
          <w:color w:val="111111"/>
          <w:sz w:val="21"/>
          <w:szCs w:val="21"/>
        </w:rPr>
        <w:t>factoring</w:t>
      </w:r>
      <w:proofErr w:type="spellEnd"/>
      <w:r>
        <w:rPr>
          <w:b/>
          <w:bCs/>
          <w:color w:val="111111"/>
          <w:sz w:val="21"/>
          <w:szCs w:val="21"/>
        </w:rPr>
        <w:t xml:space="preserve"> </w:t>
      </w:r>
      <w:proofErr w:type="gramStart"/>
      <w:r>
        <w:rPr>
          <w:b/>
          <w:bCs/>
          <w:color w:val="111111"/>
          <w:sz w:val="21"/>
          <w:szCs w:val="21"/>
        </w:rPr>
        <w:t>inverso)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en qué se diferencia del </w:t>
      </w:r>
      <w:proofErr w:type="spellStart"/>
      <w:r>
        <w:rPr>
          <w:color w:val="595959"/>
          <w:sz w:val="21"/>
          <w:szCs w:val="21"/>
        </w:rPr>
        <w:t>factoring</w:t>
      </w:r>
      <w:proofErr w:type="spellEnd"/>
      <w:r>
        <w:rPr>
          <w:color w:val="595959"/>
          <w:sz w:val="21"/>
          <w:szCs w:val="21"/>
        </w:rPr>
        <w:t xml:space="preserve"> tradicional y quién lo ofrece</w:t>
      </w:r>
    </w:p>
    <w:p w14:paraId="16EA64F0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Cómo compran las grandes empresas</w:t>
      </w:r>
    </w:p>
    <w:p w14:paraId="16EA64F1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Ciclo OC → HES → EDP → Factura → </w:t>
      </w:r>
      <w:proofErr w:type="gramStart"/>
      <w:r>
        <w:rPr>
          <w:b/>
          <w:bCs/>
          <w:color w:val="111111"/>
          <w:sz w:val="21"/>
          <w:szCs w:val="21"/>
        </w:rPr>
        <w:t>Pago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el flujo documental completo que determina cuándo se libera el pago</w:t>
      </w:r>
    </w:p>
    <w:p w14:paraId="16EA64F2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Portales de </w:t>
      </w:r>
      <w:proofErr w:type="gramStart"/>
      <w:r>
        <w:rPr>
          <w:b/>
          <w:bCs/>
          <w:color w:val="111111"/>
          <w:sz w:val="21"/>
          <w:szCs w:val="21"/>
        </w:rPr>
        <w:t>proveedores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SAP Ariba y portales de pago corporativos propios — cómo se navegan y qué información exponen</w:t>
      </w:r>
    </w:p>
    <w:p w14:paraId="16EA64F3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Políticas de pago a </w:t>
      </w:r>
      <w:proofErr w:type="gramStart"/>
      <w:r>
        <w:rPr>
          <w:b/>
          <w:bCs/>
          <w:color w:val="111111"/>
          <w:sz w:val="21"/>
          <w:szCs w:val="21"/>
        </w:rPr>
        <w:t>proveedores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por qué las grandes empresas pagan a 45–90 días y cómo varía por sector</w:t>
      </w:r>
    </w:p>
    <w:p w14:paraId="16EA64F4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Particularidades por </w:t>
      </w:r>
      <w:proofErr w:type="gramStart"/>
      <w:r>
        <w:rPr>
          <w:b/>
          <w:bCs/>
          <w:color w:val="111111"/>
          <w:sz w:val="21"/>
          <w:szCs w:val="21"/>
        </w:rPr>
        <w:t>industria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minería, energía, construcción y </w:t>
      </w:r>
      <w:proofErr w:type="spellStart"/>
      <w:r>
        <w:rPr>
          <w:color w:val="595959"/>
          <w:sz w:val="21"/>
          <w:szCs w:val="21"/>
        </w:rPr>
        <w:t>retail</w:t>
      </w:r>
      <w:proofErr w:type="spellEnd"/>
      <w:r>
        <w:rPr>
          <w:color w:val="595959"/>
          <w:sz w:val="21"/>
          <w:szCs w:val="21"/>
        </w:rPr>
        <w:t xml:space="preserve"> no pagan igual ni con los mismos ritmos</w:t>
      </w:r>
    </w:p>
    <w:p w14:paraId="16EA64F5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Marco legal y tributario mínimo (Chile)</w:t>
      </w:r>
    </w:p>
    <w:p w14:paraId="16EA64F6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Facturación electrónica y el </w:t>
      </w:r>
      <w:proofErr w:type="gramStart"/>
      <w:r>
        <w:rPr>
          <w:b/>
          <w:bCs/>
          <w:color w:val="111111"/>
          <w:sz w:val="21"/>
          <w:szCs w:val="21"/>
        </w:rPr>
        <w:t>SII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tipos de documentos tributarios: factura, boleta, nota de crédito/débito</w:t>
      </w:r>
    </w:p>
    <w:p w14:paraId="16EA64F7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lastRenderedPageBreak/>
        <w:t xml:space="preserve">Ley 21.131 “Pago a 30 </w:t>
      </w:r>
      <w:proofErr w:type="gramStart"/>
      <w:r>
        <w:rPr>
          <w:b/>
          <w:bCs/>
          <w:color w:val="111111"/>
          <w:sz w:val="21"/>
          <w:szCs w:val="21"/>
        </w:rPr>
        <w:t>días”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qué protege, a quién aplica y sus excepciones — es un argumento de venta directo</w:t>
      </w:r>
    </w:p>
    <w:p w14:paraId="16EA64F8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Régimen tributario de una </w:t>
      </w:r>
      <w:proofErr w:type="gramStart"/>
      <w:r>
        <w:rPr>
          <w:b/>
          <w:bCs/>
          <w:color w:val="111111"/>
          <w:sz w:val="21"/>
          <w:szCs w:val="21"/>
        </w:rPr>
        <w:t>consultora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diferencias entre </w:t>
      </w:r>
      <w:proofErr w:type="gramStart"/>
      <w:r>
        <w:rPr>
          <w:color w:val="595959"/>
          <w:sz w:val="21"/>
          <w:szCs w:val="21"/>
        </w:rPr>
        <w:t>Pro Pyme</w:t>
      </w:r>
      <w:proofErr w:type="gramEnd"/>
      <w:r>
        <w:rPr>
          <w:color w:val="595959"/>
          <w:sz w:val="21"/>
          <w:szCs w:val="21"/>
        </w:rPr>
        <w:t xml:space="preserve"> y régimen general, IVA en servicios</w:t>
      </w:r>
    </w:p>
    <w:p w14:paraId="16EA64F9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Herramientas técnicas base</w:t>
      </w:r>
    </w:p>
    <w:p w14:paraId="16EA64FA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Excel </w:t>
      </w:r>
      <w:proofErr w:type="gramStart"/>
      <w:r>
        <w:rPr>
          <w:b/>
          <w:bCs/>
          <w:color w:val="111111"/>
          <w:sz w:val="21"/>
          <w:szCs w:val="21"/>
        </w:rPr>
        <w:t>avanzado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tablas dinámicas, BUSCARV/XLOOKUP, Power Query — porque ahí vive la data del cliente</w:t>
      </w:r>
    </w:p>
    <w:p w14:paraId="16EA64FB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SQL </w:t>
      </w:r>
      <w:proofErr w:type="gramStart"/>
      <w:r>
        <w:rPr>
          <w:b/>
          <w:bCs/>
          <w:color w:val="111111"/>
          <w:sz w:val="21"/>
          <w:szCs w:val="21"/>
        </w:rPr>
        <w:t>básico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SELECT, JOIN, GROUP BY, para consolidar datos de distintas fuentes</w:t>
      </w:r>
    </w:p>
    <w:p w14:paraId="16EA64FC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Python con </w:t>
      </w:r>
      <w:proofErr w:type="gramStart"/>
      <w:r>
        <w:rPr>
          <w:b/>
          <w:bCs/>
          <w:color w:val="111111"/>
          <w:sz w:val="21"/>
          <w:szCs w:val="21"/>
        </w:rPr>
        <w:t>pandas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limpieza y transformación de datos, lectura de Excel/CSV, cálculos de flujo de caja</w:t>
      </w:r>
    </w:p>
    <w:p w14:paraId="16EA64FD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Una herramienta de </w:t>
      </w:r>
      <w:proofErr w:type="gramStart"/>
      <w:r>
        <w:rPr>
          <w:b/>
          <w:bCs/>
          <w:color w:val="111111"/>
          <w:sz w:val="21"/>
          <w:szCs w:val="21"/>
        </w:rPr>
        <w:t>visualización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elegir entre Power BI o Looker Studio y dominarla primero (</w:t>
      </w:r>
      <w:proofErr w:type="spellStart"/>
      <w:r>
        <w:rPr>
          <w:color w:val="595959"/>
          <w:sz w:val="21"/>
          <w:szCs w:val="21"/>
        </w:rPr>
        <w:t>Streamlit</w:t>
      </w:r>
      <w:proofErr w:type="spellEnd"/>
      <w:r>
        <w:rPr>
          <w:color w:val="595959"/>
          <w:sz w:val="21"/>
          <w:szCs w:val="21"/>
        </w:rPr>
        <w:t xml:space="preserve"> viene después)</w:t>
      </w:r>
    </w:p>
    <w:p w14:paraId="16EA64FE" w14:textId="77777777" w:rsidR="0056787C" w:rsidRDefault="00000000">
      <w:pPr>
        <w:pStyle w:val="Ttulo1"/>
        <w:pBdr>
          <w:bottom w:val="single" w:sz="8" w:space="4" w:color="5E8A00"/>
        </w:pBdr>
        <w:spacing w:before="400" w:after="160"/>
      </w:pPr>
      <w:r>
        <w:rPr>
          <w:b/>
          <w:bCs/>
          <w:color w:val="111111"/>
          <w:sz w:val="30"/>
          <w:szCs w:val="30"/>
        </w:rPr>
        <w:t>Fase 2 — Para escalar el servicio (3-6 meses)</w:t>
      </w:r>
    </w:p>
    <w:p w14:paraId="16EA64FF" w14:textId="77777777" w:rsidR="0056787C" w:rsidRDefault="00000000">
      <w:pPr>
        <w:spacing w:after="220"/>
      </w:pPr>
      <w:r>
        <w:rPr>
          <w:i/>
          <w:iCs/>
          <w:color w:val="595959"/>
          <w:sz w:val="21"/>
          <w:szCs w:val="21"/>
        </w:rPr>
        <w:t>Lo necesario para atender más clientes en paralelo, automatizar la entrega y profesionalizar el producto.</w:t>
      </w:r>
    </w:p>
    <w:p w14:paraId="16EA6500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Finanzas más profundas</w:t>
      </w:r>
    </w:p>
    <w:p w14:paraId="16EA6501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Ratios </w:t>
      </w:r>
      <w:proofErr w:type="gramStart"/>
      <w:r>
        <w:rPr>
          <w:b/>
          <w:bCs/>
          <w:color w:val="111111"/>
          <w:sz w:val="21"/>
          <w:szCs w:val="21"/>
        </w:rPr>
        <w:t>financieros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liquidez, endeudamiento y rentabilidad — para enriquecer el diagnóstico</w:t>
      </w:r>
    </w:p>
    <w:p w14:paraId="16EA6502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Comportamiento real de </w:t>
      </w:r>
      <w:proofErr w:type="gramStart"/>
      <w:r>
        <w:rPr>
          <w:b/>
          <w:bCs/>
          <w:color w:val="111111"/>
          <w:sz w:val="21"/>
          <w:szCs w:val="21"/>
        </w:rPr>
        <w:t>pago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estimar la fecha probable de pago de un cliente a partir de su historial, no de la fecha teórica</w:t>
      </w:r>
    </w:p>
    <w:p w14:paraId="16EA6503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Riesgo crediticio y </w:t>
      </w:r>
      <w:proofErr w:type="spellStart"/>
      <w:r>
        <w:rPr>
          <w:b/>
          <w:bCs/>
          <w:color w:val="111111"/>
          <w:sz w:val="21"/>
          <w:szCs w:val="21"/>
        </w:rPr>
        <w:t>scoring</w:t>
      </w:r>
      <w:proofErr w:type="spellEnd"/>
      <w:r>
        <w:rPr>
          <w:b/>
          <w:bCs/>
          <w:color w:val="111111"/>
          <w:sz w:val="21"/>
          <w:szCs w:val="21"/>
        </w:rPr>
        <w:t xml:space="preserve"> </w:t>
      </w:r>
      <w:proofErr w:type="gramStart"/>
      <w:r>
        <w:rPr>
          <w:b/>
          <w:bCs/>
          <w:color w:val="111111"/>
          <w:sz w:val="21"/>
          <w:szCs w:val="21"/>
        </w:rPr>
        <w:t>básico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lógica detrás de un score simple de riesgo de cliente/pagador</w:t>
      </w:r>
    </w:p>
    <w:p w14:paraId="16EA6504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Proyecciones con </w:t>
      </w:r>
      <w:proofErr w:type="gramStart"/>
      <w:r>
        <w:rPr>
          <w:b/>
          <w:bCs/>
          <w:color w:val="111111"/>
          <w:sz w:val="21"/>
          <w:szCs w:val="21"/>
        </w:rPr>
        <w:t>escenarios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flujo de caja a 90 días en versión optimista, base y pesimista</w:t>
      </w:r>
    </w:p>
    <w:p w14:paraId="16EA6505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Legal y tributario más profundo</w:t>
      </w:r>
    </w:p>
    <w:p w14:paraId="16EA6506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Estructura </w:t>
      </w:r>
      <w:proofErr w:type="gramStart"/>
      <w:r>
        <w:rPr>
          <w:b/>
          <w:bCs/>
          <w:color w:val="111111"/>
          <w:sz w:val="21"/>
          <w:szCs w:val="21"/>
        </w:rPr>
        <w:t>societaria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</w:t>
      </w:r>
      <w:proofErr w:type="spellStart"/>
      <w:r>
        <w:rPr>
          <w:color w:val="595959"/>
          <w:sz w:val="21"/>
          <w:szCs w:val="21"/>
        </w:rPr>
        <w:t>SpA</w:t>
      </w:r>
      <w:proofErr w:type="spellEnd"/>
      <w:r>
        <w:rPr>
          <w:color w:val="595959"/>
          <w:sz w:val="21"/>
          <w:szCs w:val="21"/>
        </w:rPr>
        <w:t xml:space="preserve"> vs. EIRL — ventajas de cada una para una consultora que factura a terceros</w:t>
      </w:r>
    </w:p>
    <w:p w14:paraId="16EA6507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Régimen </w:t>
      </w:r>
      <w:proofErr w:type="gramStart"/>
      <w:r>
        <w:rPr>
          <w:b/>
          <w:bCs/>
          <w:color w:val="111111"/>
          <w:sz w:val="21"/>
          <w:szCs w:val="21"/>
        </w:rPr>
        <w:t>Pro Pyme</w:t>
      </w:r>
      <w:proofErr w:type="gramEnd"/>
      <w:r>
        <w:rPr>
          <w:b/>
          <w:bCs/>
          <w:color w:val="111111"/>
          <w:sz w:val="21"/>
          <w:szCs w:val="21"/>
        </w:rPr>
        <w:t xml:space="preserve"> vs. </w:t>
      </w:r>
      <w:proofErr w:type="gramStart"/>
      <w:r>
        <w:rPr>
          <w:b/>
          <w:bCs/>
          <w:color w:val="111111"/>
          <w:sz w:val="21"/>
          <w:szCs w:val="21"/>
        </w:rPr>
        <w:t>general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cuál conviene según el volumen de facturación de Argos</w:t>
      </w:r>
    </w:p>
    <w:p w14:paraId="16EA6508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Contratos de servicios de </w:t>
      </w:r>
      <w:proofErr w:type="gramStart"/>
      <w:r>
        <w:rPr>
          <w:b/>
          <w:bCs/>
          <w:color w:val="111111"/>
          <w:sz w:val="21"/>
          <w:szCs w:val="21"/>
        </w:rPr>
        <w:t>consultoría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alcance, SLA, confidencialidad y qué pasa si el cliente no entrega los datos a tiempo</w:t>
      </w:r>
    </w:p>
    <w:p w14:paraId="16EA6509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Protección de datos </w:t>
      </w:r>
      <w:proofErr w:type="gramStart"/>
      <w:r>
        <w:rPr>
          <w:b/>
          <w:bCs/>
          <w:color w:val="111111"/>
          <w:sz w:val="21"/>
          <w:szCs w:val="21"/>
        </w:rPr>
        <w:t>personales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Ley 19.628 y la nueva ley marco — relevante porque Argos maneja datos financieros de terceros</w:t>
      </w:r>
    </w:p>
    <w:p w14:paraId="16EA650A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Técnico más profundo</w:t>
      </w:r>
    </w:p>
    <w:p w14:paraId="16EA650B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proofErr w:type="gramStart"/>
      <w:r>
        <w:rPr>
          <w:b/>
          <w:bCs/>
          <w:color w:val="111111"/>
          <w:sz w:val="21"/>
          <w:szCs w:val="21"/>
        </w:rPr>
        <w:t>Streamlit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para </w:t>
      </w:r>
      <w:proofErr w:type="spellStart"/>
      <w:r>
        <w:rPr>
          <w:color w:val="595959"/>
          <w:sz w:val="21"/>
          <w:szCs w:val="21"/>
        </w:rPr>
        <w:t>dashboards</w:t>
      </w:r>
      <w:proofErr w:type="spellEnd"/>
      <w:r>
        <w:rPr>
          <w:color w:val="595959"/>
          <w:sz w:val="21"/>
          <w:szCs w:val="21"/>
        </w:rPr>
        <w:t xml:space="preserve"> a medida construidos en Python cuando Power BI/Looker se quedan cortos</w:t>
      </w:r>
    </w:p>
    <w:p w14:paraId="16EA650C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  <w:color w:val="111111"/>
          <w:sz w:val="21"/>
          <w:szCs w:val="21"/>
        </w:rPr>
        <w:t>APIs</w:t>
      </w:r>
      <w:proofErr w:type="spellEnd"/>
      <w:r>
        <w:rPr>
          <w:b/>
          <w:bCs/>
          <w:color w:val="111111"/>
          <w:sz w:val="21"/>
          <w:szCs w:val="21"/>
        </w:rPr>
        <w:t xml:space="preserve"> y </w:t>
      </w:r>
      <w:proofErr w:type="gramStart"/>
      <w:r>
        <w:rPr>
          <w:b/>
          <w:bCs/>
          <w:color w:val="111111"/>
          <w:sz w:val="21"/>
          <w:szCs w:val="21"/>
        </w:rPr>
        <w:t>automatización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conectar o extraer datos de portales/correos sin trabajo manual repetido</w:t>
      </w:r>
    </w:p>
    <w:p w14:paraId="16EA650D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Scripts </w:t>
      </w:r>
      <w:proofErr w:type="gramStart"/>
      <w:r>
        <w:rPr>
          <w:b/>
          <w:bCs/>
          <w:color w:val="111111"/>
          <w:sz w:val="21"/>
          <w:szCs w:val="21"/>
        </w:rPr>
        <w:t>programados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automatización con cron / </w:t>
      </w:r>
      <w:proofErr w:type="spellStart"/>
      <w:r>
        <w:rPr>
          <w:color w:val="595959"/>
          <w:sz w:val="21"/>
          <w:szCs w:val="21"/>
        </w:rPr>
        <w:t>Task</w:t>
      </w:r>
      <w:proofErr w:type="spellEnd"/>
      <w:r>
        <w:rPr>
          <w:color w:val="595959"/>
          <w:sz w:val="21"/>
          <w:szCs w:val="21"/>
        </w:rPr>
        <w:t xml:space="preserve"> </w:t>
      </w:r>
      <w:proofErr w:type="spellStart"/>
      <w:r>
        <w:rPr>
          <w:color w:val="595959"/>
          <w:sz w:val="21"/>
          <w:szCs w:val="21"/>
        </w:rPr>
        <w:t>Scheduler</w:t>
      </w:r>
      <w:proofErr w:type="spellEnd"/>
      <w:r>
        <w:rPr>
          <w:color w:val="595959"/>
          <w:sz w:val="21"/>
          <w:szCs w:val="21"/>
        </w:rPr>
        <w:t xml:space="preserve"> para reportes recurrentes</w:t>
      </w:r>
    </w:p>
    <w:p w14:paraId="16EA650E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gramStart"/>
      <w:r>
        <w:rPr>
          <w:b/>
          <w:bCs/>
          <w:color w:val="111111"/>
          <w:sz w:val="21"/>
          <w:szCs w:val="21"/>
        </w:rPr>
        <w:t>Git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control de versiones, aunque se trabaje solo — evita perder trabajo y ordena el historial</w:t>
      </w:r>
    </w:p>
    <w:p w14:paraId="16EA650F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Bases de datos </w:t>
      </w:r>
      <w:proofErr w:type="gramStart"/>
      <w:r>
        <w:rPr>
          <w:b/>
          <w:bCs/>
          <w:color w:val="111111"/>
          <w:sz w:val="21"/>
          <w:szCs w:val="21"/>
        </w:rPr>
        <w:t>reales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cuándo migrar de Excel a </w:t>
      </w:r>
      <w:proofErr w:type="spellStart"/>
      <w:r>
        <w:rPr>
          <w:color w:val="595959"/>
          <w:sz w:val="21"/>
          <w:szCs w:val="21"/>
        </w:rPr>
        <w:t>Postgres</w:t>
      </w:r>
      <w:proofErr w:type="spellEnd"/>
      <w:r>
        <w:rPr>
          <w:color w:val="595959"/>
          <w:sz w:val="21"/>
          <w:szCs w:val="21"/>
        </w:rPr>
        <w:t>/</w:t>
      </w:r>
      <w:proofErr w:type="spellStart"/>
      <w:r>
        <w:rPr>
          <w:color w:val="595959"/>
          <w:sz w:val="21"/>
          <w:szCs w:val="21"/>
        </w:rPr>
        <w:t>Supabase</w:t>
      </w:r>
      <w:proofErr w:type="spellEnd"/>
      <w:r>
        <w:rPr>
          <w:color w:val="595959"/>
          <w:sz w:val="21"/>
          <w:szCs w:val="21"/>
        </w:rPr>
        <w:t xml:space="preserve"> a medida que crecen los datos</w:t>
      </w:r>
    </w:p>
    <w:p w14:paraId="16EA6510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 xml:space="preserve">Producto y diseño de </w:t>
      </w:r>
      <w:proofErr w:type="spellStart"/>
      <w:r>
        <w:rPr>
          <w:b/>
          <w:bCs/>
          <w:color w:val="3D6600"/>
          <w:sz w:val="24"/>
          <w:szCs w:val="24"/>
        </w:rPr>
        <w:t>dashboards</w:t>
      </w:r>
      <w:proofErr w:type="spellEnd"/>
    </w:p>
    <w:p w14:paraId="16EA6511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Principios de visualización de </w:t>
      </w:r>
      <w:proofErr w:type="gramStart"/>
      <w:r>
        <w:rPr>
          <w:b/>
          <w:bCs/>
          <w:color w:val="111111"/>
          <w:sz w:val="21"/>
          <w:szCs w:val="21"/>
        </w:rPr>
        <w:t>datos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qué tipo de gráfico responde mejor a cada pregunta del cliente</w:t>
      </w:r>
    </w:p>
    <w:p w14:paraId="16EA6512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lastRenderedPageBreak/>
        <w:t xml:space="preserve">Diseño de </w:t>
      </w:r>
      <w:proofErr w:type="spellStart"/>
      <w:proofErr w:type="gramStart"/>
      <w:r>
        <w:rPr>
          <w:b/>
          <w:bCs/>
          <w:color w:val="111111"/>
          <w:sz w:val="21"/>
          <w:szCs w:val="21"/>
        </w:rPr>
        <w:t>KPIs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qué métricas le importan de verdad a un dueño de pyme — no todas las que se pueden calcular</w:t>
      </w:r>
    </w:p>
    <w:p w14:paraId="16EA6513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>UX para no-</w:t>
      </w:r>
      <w:proofErr w:type="gramStart"/>
      <w:r>
        <w:rPr>
          <w:b/>
          <w:bCs/>
          <w:color w:val="111111"/>
          <w:sz w:val="21"/>
          <w:szCs w:val="21"/>
        </w:rPr>
        <w:t>técnicos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que el </w:t>
      </w:r>
      <w:proofErr w:type="spellStart"/>
      <w:r>
        <w:rPr>
          <w:color w:val="595959"/>
          <w:sz w:val="21"/>
          <w:szCs w:val="21"/>
        </w:rPr>
        <w:t>dashboard</w:t>
      </w:r>
      <w:proofErr w:type="spellEnd"/>
      <w:r>
        <w:rPr>
          <w:color w:val="595959"/>
          <w:sz w:val="21"/>
          <w:szCs w:val="21"/>
        </w:rPr>
        <w:t xml:space="preserve"> se entienda en los primeros 10 segundos, sin explicación</w:t>
      </w:r>
    </w:p>
    <w:p w14:paraId="16EA6514" w14:textId="77777777" w:rsidR="0056787C" w:rsidRDefault="00000000">
      <w:pPr>
        <w:pStyle w:val="Ttulo1"/>
        <w:pBdr>
          <w:bottom w:val="single" w:sz="8" w:space="4" w:color="5E8A00"/>
        </w:pBdr>
        <w:spacing w:before="400" w:after="160"/>
      </w:pPr>
      <w:r>
        <w:rPr>
          <w:b/>
          <w:bCs/>
          <w:color w:val="111111"/>
          <w:sz w:val="30"/>
          <w:szCs w:val="30"/>
        </w:rPr>
        <w:t>Fase 3 — Crecimiento (6+ meses)</w:t>
      </w:r>
    </w:p>
    <w:p w14:paraId="16EA6515" w14:textId="77777777" w:rsidR="0056787C" w:rsidRDefault="00000000">
      <w:pPr>
        <w:spacing w:after="220"/>
      </w:pPr>
      <w:r>
        <w:rPr>
          <w:i/>
          <w:iCs/>
          <w:color w:val="595959"/>
          <w:sz w:val="21"/>
          <w:szCs w:val="21"/>
        </w:rPr>
        <w:t xml:space="preserve">Para escalar Argos </w:t>
      </w:r>
      <w:proofErr w:type="spellStart"/>
      <w:r>
        <w:rPr>
          <w:i/>
          <w:iCs/>
          <w:color w:val="595959"/>
          <w:sz w:val="21"/>
          <w:szCs w:val="21"/>
        </w:rPr>
        <w:t>Insights</w:t>
      </w:r>
      <w:proofErr w:type="spellEnd"/>
      <w:r>
        <w:rPr>
          <w:i/>
          <w:iCs/>
          <w:color w:val="595959"/>
          <w:sz w:val="21"/>
          <w:szCs w:val="21"/>
        </w:rPr>
        <w:t xml:space="preserve"> como negocio, no solo como servicio prestado por una persona.</w:t>
      </w:r>
    </w:p>
    <w:p w14:paraId="16EA6516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Ventas y desarrollo de negocio</w:t>
      </w:r>
    </w:p>
    <w:p w14:paraId="16EA6517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Discovery / diagnóstico </w:t>
      </w:r>
      <w:proofErr w:type="gramStart"/>
      <w:r>
        <w:rPr>
          <w:b/>
          <w:bCs/>
          <w:color w:val="111111"/>
          <w:sz w:val="21"/>
          <w:szCs w:val="21"/>
        </w:rPr>
        <w:t>comercial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metodología para la primera reunión con un cliente potencial</w:t>
      </w:r>
    </w:p>
    <w:p w14:paraId="16EA6518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Propuestas y </w:t>
      </w:r>
      <w:proofErr w:type="gramStart"/>
      <w:r>
        <w:rPr>
          <w:b/>
          <w:bCs/>
          <w:color w:val="111111"/>
          <w:sz w:val="21"/>
          <w:szCs w:val="21"/>
        </w:rPr>
        <w:t>alcance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armar una propuesta comercial y evitar el </w:t>
      </w:r>
      <w:proofErr w:type="spellStart"/>
      <w:r>
        <w:rPr>
          <w:color w:val="595959"/>
          <w:sz w:val="21"/>
          <w:szCs w:val="21"/>
        </w:rPr>
        <w:t>scope</w:t>
      </w:r>
      <w:proofErr w:type="spellEnd"/>
      <w:r>
        <w:rPr>
          <w:color w:val="595959"/>
          <w:sz w:val="21"/>
          <w:szCs w:val="21"/>
        </w:rPr>
        <w:t xml:space="preserve"> </w:t>
      </w:r>
      <w:proofErr w:type="spellStart"/>
      <w:r>
        <w:rPr>
          <w:color w:val="595959"/>
          <w:sz w:val="21"/>
          <w:szCs w:val="21"/>
        </w:rPr>
        <w:t>creep</w:t>
      </w:r>
      <w:proofErr w:type="spellEnd"/>
    </w:p>
    <w:p w14:paraId="16EA6519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  <w:color w:val="111111"/>
          <w:sz w:val="21"/>
          <w:szCs w:val="21"/>
        </w:rPr>
        <w:t>Pricing</w:t>
      </w:r>
      <w:proofErr w:type="spellEnd"/>
      <w:r>
        <w:rPr>
          <w:b/>
          <w:bCs/>
          <w:color w:val="111111"/>
          <w:sz w:val="21"/>
          <w:szCs w:val="21"/>
        </w:rPr>
        <w:t xml:space="preserve"> de </w:t>
      </w:r>
      <w:proofErr w:type="gramStart"/>
      <w:r>
        <w:rPr>
          <w:b/>
          <w:bCs/>
          <w:color w:val="111111"/>
          <w:sz w:val="21"/>
          <w:szCs w:val="21"/>
        </w:rPr>
        <w:t>servicios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por hora, por proyecto o </w:t>
      </w:r>
      <w:proofErr w:type="spellStart"/>
      <w:r>
        <w:rPr>
          <w:color w:val="595959"/>
          <w:sz w:val="21"/>
          <w:szCs w:val="21"/>
        </w:rPr>
        <w:t>retainer</w:t>
      </w:r>
      <w:proofErr w:type="spellEnd"/>
      <w:r>
        <w:rPr>
          <w:color w:val="595959"/>
          <w:sz w:val="21"/>
          <w:szCs w:val="21"/>
        </w:rPr>
        <w:t xml:space="preserve"> mensual — y cuándo usar cada modelo</w:t>
      </w:r>
    </w:p>
    <w:p w14:paraId="16EA651A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Prospección B2B y venta </w:t>
      </w:r>
      <w:proofErr w:type="gramStart"/>
      <w:r>
        <w:rPr>
          <w:b/>
          <w:bCs/>
          <w:color w:val="111111"/>
          <w:sz w:val="21"/>
          <w:szCs w:val="21"/>
        </w:rPr>
        <w:t>consultiva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generar el primer contacto con pymes que califican como cliente ideal</w:t>
      </w:r>
    </w:p>
    <w:p w14:paraId="16EA651B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Especialización financiera</w:t>
      </w:r>
    </w:p>
    <w:p w14:paraId="16EA651C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Modelos de </w:t>
      </w:r>
      <w:proofErr w:type="spellStart"/>
      <w:r>
        <w:rPr>
          <w:b/>
          <w:bCs/>
          <w:color w:val="111111"/>
          <w:sz w:val="21"/>
          <w:szCs w:val="21"/>
        </w:rPr>
        <w:t>scoring</w:t>
      </w:r>
      <w:proofErr w:type="spellEnd"/>
      <w:r>
        <w:rPr>
          <w:b/>
          <w:bCs/>
          <w:color w:val="111111"/>
          <w:sz w:val="21"/>
          <w:szCs w:val="21"/>
        </w:rPr>
        <w:t xml:space="preserve"> más </w:t>
      </w:r>
      <w:proofErr w:type="gramStart"/>
      <w:r>
        <w:rPr>
          <w:b/>
          <w:bCs/>
          <w:color w:val="111111"/>
          <w:sz w:val="21"/>
          <w:szCs w:val="21"/>
        </w:rPr>
        <w:t>sofisticados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más allá de reglas simples, incorporando historial y variables sectoriales</w:t>
      </w:r>
    </w:p>
    <w:p w14:paraId="16EA651D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Análisis por </w:t>
      </w:r>
      <w:proofErr w:type="gramStart"/>
      <w:r>
        <w:rPr>
          <w:b/>
          <w:bCs/>
          <w:color w:val="111111"/>
          <w:sz w:val="21"/>
          <w:szCs w:val="21"/>
        </w:rPr>
        <w:t>industria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cómo cambia el ciclo de pago y el riesgo según minería, energía, construcción o </w:t>
      </w:r>
      <w:proofErr w:type="spellStart"/>
      <w:r>
        <w:rPr>
          <w:color w:val="595959"/>
          <w:sz w:val="21"/>
          <w:szCs w:val="21"/>
        </w:rPr>
        <w:t>retail</w:t>
      </w:r>
      <w:proofErr w:type="spellEnd"/>
    </w:p>
    <w:p w14:paraId="16EA651E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Variables macro </w:t>
      </w:r>
      <w:proofErr w:type="gramStart"/>
      <w:r>
        <w:rPr>
          <w:b/>
          <w:bCs/>
          <w:color w:val="111111"/>
          <w:sz w:val="21"/>
          <w:szCs w:val="21"/>
        </w:rPr>
        <w:t>relevantes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tasa de interés y otros indicadores que afectan el costo del </w:t>
      </w:r>
      <w:proofErr w:type="spellStart"/>
      <w:r>
        <w:rPr>
          <w:color w:val="595959"/>
          <w:sz w:val="21"/>
          <w:szCs w:val="21"/>
        </w:rPr>
        <w:t>factoring</w:t>
      </w:r>
      <w:proofErr w:type="spellEnd"/>
      <w:r>
        <w:rPr>
          <w:color w:val="595959"/>
          <w:sz w:val="21"/>
          <w:szCs w:val="21"/>
        </w:rPr>
        <w:t xml:space="preserve"> y la caja de las pymes</w:t>
      </w:r>
    </w:p>
    <w:p w14:paraId="16EA651F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Legal y operaciones a escala</w:t>
      </w:r>
    </w:p>
    <w:p w14:paraId="16EA6520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Contratos </w:t>
      </w:r>
      <w:proofErr w:type="spellStart"/>
      <w:r>
        <w:rPr>
          <w:b/>
          <w:bCs/>
          <w:color w:val="111111"/>
          <w:sz w:val="21"/>
          <w:szCs w:val="21"/>
        </w:rPr>
        <w:t>multi-</w:t>
      </w:r>
      <w:proofErr w:type="gramStart"/>
      <w:r>
        <w:rPr>
          <w:b/>
          <w:bCs/>
          <w:color w:val="111111"/>
          <w:sz w:val="21"/>
          <w:szCs w:val="21"/>
        </w:rPr>
        <w:t>cliente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estructuras de contrato repetibles y escalables</w:t>
      </w:r>
    </w:p>
    <w:p w14:paraId="16EA6521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Seguridad de datos a mayor </w:t>
      </w:r>
      <w:proofErr w:type="gramStart"/>
      <w:r>
        <w:rPr>
          <w:b/>
          <w:bCs/>
          <w:color w:val="111111"/>
          <w:sz w:val="21"/>
          <w:szCs w:val="21"/>
        </w:rPr>
        <w:t>escala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control de acceso y manejo responsable de información financiera de múltiples clientes</w:t>
      </w:r>
    </w:p>
    <w:p w14:paraId="16EA6522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>Procesos internos (</w:t>
      </w:r>
      <w:proofErr w:type="spellStart"/>
      <w:proofErr w:type="gramStart"/>
      <w:r>
        <w:rPr>
          <w:b/>
          <w:bCs/>
          <w:color w:val="111111"/>
          <w:sz w:val="21"/>
          <w:szCs w:val="21"/>
        </w:rPr>
        <w:t>SOPs</w:t>
      </w:r>
      <w:proofErr w:type="spellEnd"/>
      <w:r>
        <w:rPr>
          <w:b/>
          <w:bCs/>
          <w:color w:val="111111"/>
          <w:sz w:val="21"/>
          <w:szCs w:val="21"/>
        </w:rPr>
        <w:t>)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documentar el diagnóstico, la implementación y el acompañamiento para no depender de una sola persona</w:t>
      </w:r>
    </w:p>
    <w:p w14:paraId="16EA6523" w14:textId="77777777" w:rsidR="0056787C" w:rsidRDefault="00000000">
      <w:pPr>
        <w:pStyle w:val="Ttulo2"/>
        <w:spacing w:before="260" w:after="100"/>
      </w:pPr>
      <w:r>
        <w:rPr>
          <w:b/>
          <w:bCs/>
          <w:color w:val="3D6600"/>
          <w:sz w:val="24"/>
          <w:szCs w:val="24"/>
        </w:rPr>
        <w:t>Producto a escala</w:t>
      </w:r>
    </w:p>
    <w:p w14:paraId="16EA6524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proofErr w:type="spellStart"/>
      <w:r>
        <w:rPr>
          <w:b/>
          <w:bCs/>
          <w:color w:val="111111"/>
          <w:sz w:val="21"/>
          <w:szCs w:val="21"/>
        </w:rPr>
        <w:t>Multi-tenant</w:t>
      </w:r>
      <w:proofErr w:type="spellEnd"/>
      <w:r>
        <w:rPr>
          <w:b/>
          <w:bCs/>
          <w:color w:val="111111"/>
          <w:sz w:val="21"/>
          <w:szCs w:val="21"/>
        </w:rPr>
        <w:t xml:space="preserve"> / </w:t>
      </w:r>
      <w:proofErr w:type="spellStart"/>
      <w:r>
        <w:rPr>
          <w:b/>
          <w:bCs/>
          <w:color w:val="111111"/>
          <w:sz w:val="21"/>
          <w:szCs w:val="21"/>
        </w:rPr>
        <w:t>white-</w:t>
      </w:r>
      <w:proofErr w:type="gramStart"/>
      <w:r>
        <w:rPr>
          <w:b/>
          <w:bCs/>
          <w:color w:val="111111"/>
          <w:sz w:val="21"/>
          <w:szCs w:val="21"/>
        </w:rPr>
        <w:t>label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</w:t>
      </w:r>
      <w:proofErr w:type="spellStart"/>
      <w:r>
        <w:rPr>
          <w:color w:val="595959"/>
          <w:sz w:val="21"/>
          <w:szCs w:val="21"/>
        </w:rPr>
        <w:t>dashboards</w:t>
      </w:r>
      <w:proofErr w:type="spellEnd"/>
      <w:r>
        <w:rPr>
          <w:color w:val="595959"/>
          <w:sz w:val="21"/>
          <w:szCs w:val="21"/>
        </w:rPr>
        <w:t xml:space="preserve"> reutilizables para múltiples clientes sin reconstruir desde cero</w:t>
      </w:r>
    </w:p>
    <w:p w14:paraId="16EA6525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Integraciones más </w:t>
      </w:r>
      <w:proofErr w:type="gramStart"/>
      <w:r>
        <w:rPr>
          <w:b/>
          <w:bCs/>
          <w:color w:val="111111"/>
          <w:sz w:val="21"/>
          <w:szCs w:val="21"/>
        </w:rPr>
        <w:t>robustas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conexión directa con ERPs y portales de proveedores, más allá de la carga manual</w:t>
      </w:r>
    </w:p>
    <w:p w14:paraId="16EA6526" w14:textId="77777777" w:rsidR="0056787C" w:rsidRDefault="00000000">
      <w:pPr>
        <w:pStyle w:val="Ttulo1"/>
        <w:pBdr>
          <w:bottom w:val="single" w:sz="8" w:space="4" w:color="5E8A00"/>
        </w:pBdr>
        <w:spacing w:before="400" w:after="160"/>
      </w:pPr>
      <w:r>
        <w:rPr>
          <w:b/>
          <w:bCs/>
          <w:color w:val="111111"/>
          <w:sz w:val="30"/>
          <w:szCs w:val="30"/>
        </w:rPr>
        <w:t>Recursos para partir</w:t>
      </w:r>
    </w:p>
    <w:p w14:paraId="16EA6527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>SII (</w:t>
      </w:r>
      <w:proofErr w:type="gramStart"/>
      <w:r>
        <w:rPr>
          <w:b/>
          <w:bCs/>
          <w:color w:val="111111"/>
          <w:sz w:val="21"/>
          <w:szCs w:val="21"/>
        </w:rPr>
        <w:t>sii.cl)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normativa oficial de facturación electrónica y régimen tributario</w:t>
      </w:r>
    </w:p>
    <w:p w14:paraId="16EA6528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Documentación oficial de Power BI, Looker Studio y </w:t>
      </w:r>
      <w:proofErr w:type="spellStart"/>
      <w:proofErr w:type="gramStart"/>
      <w:r>
        <w:rPr>
          <w:b/>
          <w:bCs/>
          <w:color w:val="111111"/>
          <w:sz w:val="21"/>
          <w:szCs w:val="21"/>
        </w:rPr>
        <w:t>Streamlit</w:t>
      </w:r>
      <w:proofErr w:type="spellEnd"/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la fuente más confiable para aprender cada herramienta</w:t>
      </w:r>
    </w:p>
    <w:p w14:paraId="16EA6529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>Cursos de Python para finanzas/</w:t>
      </w:r>
      <w:proofErr w:type="gramStart"/>
      <w:r>
        <w:rPr>
          <w:b/>
          <w:bCs/>
          <w:color w:val="111111"/>
          <w:sz w:val="21"/>
          <w:szCs w:val="21"/>
        </w:rPr>
        <w:t>datos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en plataformas como Coursera, </w:t>
      </w:r>
      <w:proofErr w:type="spellStart"/>
      <w:r>
        <w:rPr>
          <w:color w:val="595959"/>
          <w:sz w:val="21"/>
          <w:szCs w:val="21"/>
        </w:rPr>
        <w:t>Platzi</w:t>
      </w:r>
      <w:proofErr w:type="spellEnd"/>
      <w:r>
        <w:rPr>
          <w:color w:val="595959"/>
          <w:sz w:val="21"/>
          <w:szCs w:val="21"/>
        </w:rPr>
        <w:t xml:space="preserve"> o </w:t>
      </w:r>
      <w:proofErr w:type="spellStart"/>
      <w:r>
        <w:rPr>
          <w:color w:val="595959"/>
          <w:sz w:val="21"/>
          <w:szCs w:val="21"/>
        </w:rPr>
        <w:t>freeCodeCamp</w:t>
      </w:r>
      <w:proofErr w:type="spellEnd"/>
    </w:p>
    <w:p w14:paraId="16EA652A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Ley 21.131 y su </w:t>
      </w:r>
      <w:proofErr w:type="gramStart"/>
      <w:r>
        <w:rPr>
          <w:b/>
          <w:bCs/>
          <w:color w:val="111111"/>
          <w:sz w:val="21"/>
          <w:szCs w:val="21"/>
        </w:rPr>
        <w:t>reglamento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texto oficial en la Biblioteca del Congreso Nacional (bcn.cl)</w:t>
      </w:r>
    </w:p>
    <w:p w14:paraId="16EA652B" w14:textId="77777777" w:rsidR="0056787C" w:rsidRDefault="00000000">
      <w:pPr>
        <w:pStyle w:val="Prrafodelista"/>
        <w:numPr>
          <w:ilvl w:val="0"/>
          <w:numId w:val="2"/>
        </w:numPr>
        <w:spacing w:after="70"/>
      </w:pPr>
      <w:r>
        <w:rPr>
          <w:b/>
          <w:bCs/>
          <w:color w:val="111111"/>
          <w:sz w:val="21"/>
          <w:szCs w:val="21"/>
        </w:rPr>
        <w:t xml:space="preserve">Comunidades de contadores/consultores pyme en </w:t>
      </w:r>
      <w:proofErr w:type="gramStart"/>
      <w:r>
        <w:rPr>
          <w:b/>
          <w:bCs/>
          <w:color w:val="111111"/>
          <w:sz w:val="21"/>
          <w:szCs w:val="21"/>
        </w:rPr>
        <w:t>Chile</w:t>
      </w:r>
      <w:r>
        <w:rPr>
          <w:color w:val="595959"/>
          <w:sz w:val="21"/>
          <w:szCs w:val="21"/>
        </w:rPr>
        <w:t xml:space="preserve">  —</w:t>
      </w:r>
      <w:proofErr w:type="gramEnd"/>
      <w:r>
        <w:rPr>
          <w:color w:val="595959"/>
          <w:sz w:val="21"/>
          <w:szCs w:val="21"/>
        </w:rPr>
        <w:t xml:space="preserve">  para validar supuestos sobre cómo operan realmente las pymes proveedoras</w:t>
      </w:r>
    </w:p>
    <w:p w14:paraId="16EA652C" w14:textId="77777777" w:rsidR="0056787C" w:rsidRDefault="00000000">
      <w:pPr>
        <w:spacing w:before="300"/>
      </w:pPr>
      <w:r>
        <w:rPr>
          <w:i/>
          <w:iCs/>
          <w:color w:val="595959"/>
          <w:sz w:val="19"/>
          <w:szCs w:val="19"/>
        </w:rPr>
        <w:lastRenderedPageBreak/>
        <w:t xml:space="preserve">Nota: este </w:t>
      </w:r>
      <w:proofErr w:type="spellStart"/>
      <w:r>
        <w:rPr>
          <w:i/>
          <w:iCs/>
          <w:color w:val="595959"/>
          <w:sz w:val="19"/>
          <w:szCs w:val="19"/>
        </w:rPr>
        <w:t>roadmap</w:t>
      </w:r>
      <w:proofErr w:type="spellEnd"/>
      <w:r>
        <w:rPr>
          <w:i/>
          <w:iCs/>
          <w:color w:val="595959"/>
          <w:sz w:val="19"/>
          <w:szCs w:val="19"/>
        </w:rPr>
        <w:t xml:space="preserve"> está construido a partir de la guía de servicio y la propuesta de valor actuales de Argos </w:t>
      </w:r>
      <w:proofErr w:type="spellStart"/>
      <w:r>
        <w:rPr>
          <w:i/>
          <w:iCs/>
          <w:color w:val="595959"/>
          <w:sz w:val="19"/>
          <w:szCs w:val="19"/>
        </w:rPr>
        <w:t>Insights</w:t>
      </w:r>
      <w:proofErr w:type="spellEnd"/>
      <w:r>
        <w:rPr>
          <w:i/>
          <w:iCs/>
          <w:color w:val="595959"/>
          <w:sz w:val="19"/>
          <w:szCs w:val="19"/>
        </w:rPr>
        <w:t>. Conviene revisarlo cada cierto tiempo a medida que el servicio y los clientes reales lo ajusten.</w:t>
      </w:r>
    </w:p>
    <w:sectPr w:rsidR="0056787C">
      <w:pgSz w:w="11906" w:h="16838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96B00"/>
    <w:multiLevelType w:val="hybridMultilevel"/>
    <w:tmpl w:val="6E4CCE5E"/>
    <w:lvl w:ilvl="0" w:tplc="A1A8544E">
      <w:start w:val="1"/>
      <w:numFmt w:val="bullet"/>
      <w:lvlText w:val="•"/>
      <w:lvlJc w:val="left"/>
      <w:pPr>
        <w:ind w:left="403" w:hanging="259"/>
      </w:pPr>
    </w:lvl>
    <w:lvl w:ilvl="1" w:tplc="84BCC73C">
      <w:numFmt w:val="decimal"/>
      <w:lvlText w:val=""/>
      <w:lvlJc w:val="left"/>
    </w:lvl>
    <w:lvl w:ilvl="2" w:tplc="CB8E9028">
      <w:numFmt w:val="decimal"/>
      <w:lvlText w:val=""/>
      <w:lvlJc w:val="left"/>
    </w:lvl>
    <w:lvl w:ilvl="3" w:tplc="B60A444E">
      <w:numFmt w:val="decimal"/>
      <w:lvlText w:val=""/>
      <w:lvlJc w:val="left"/>
    </w:lvl>
    <w:lvl w:ilvl="4" w:tplc="E800DE1A">
      <w:numFmt w:val="decimal"/>
      <w:lvlText w:val=""/>
      <w:lvlJc w:val="left"/>
    </w:lvl>
    <w:lvl w:ilvl="5" w:tplc="3FE0E34E">
      <w:numFmt w:val="decimal"/>
      <w:lvlText w:val=""/>
      <w:lvlJc w:val="left"/>
    </w:lvl>
    <w:lvl w:ilvl="6" w:tplc="CFC66D50">
      <w:numFmt w:val="decimal"/>
      <w:lvlText w:val=""/>
      <w:lvlJc w:val="left"/>
    </w:lvl>
    <w:lvl w:ilvl="7" w:tplc="30BC270A">
      <w:numFmt w:val="decimal"/>
      <w:lvlText w:val=""/>
      <w:lvlJc w:val="left"/>
    </w:lvl>
    <w:lvl w:ilvl="8" w:tplc="34D2BBA8">
      <w:numFmt w:val="decimal"/>
      <w:lvlText w:val=""/>
      <w:lvlJc w:val="left"/>
    </w:lvl>
  </w:abstractNum>
  <w:abstractNum w:abstractNumId="1" w15:restartNumberingAfterBreak="0">
    <w:nsid w:val="392C04AA"/>
    <w:multiLevelType w:val="hybridMultilevel"/>
    <w:tmpl w:val="A3EE5BFC"/>
    <w:lvl w:ilvl="0" w:tplc="2DD484CA">
      <w:start w:val="1"/>
      <w:numFmt w:val="bullet"/>
      <w:lvlText w:val="●"/>
      <w:lvlJc w:val="left"/>
      <w:pPr>
        <w:ind w:left="720" w:hanging="360"/>
      </w:pPr>
    </w:lvl>
    <w:lvl w:ilvl="1" w:tplc="A97EDB64">
      <w:start w:val="1"/>
      <w:numFmt w:val="bullet"/>
      <w:lvlText w:val="○"/>
      <w:lvlJc w:val="left"/>
      <w:pPr>
        <w:ind w:left="1440" w:hanging="360"/>
      </w:pPr>
    </w:lvl>
    <w:lvl w:ilvl="2" w:tplc="0BF4E9CC">
      <w:start w:val="1"/>
      <w:numFmt w:val="bullet"/>
      <w:lvlText w:val="■"/>
      <w:lvlJc w:val="left"/>
      <w:pPr>
        <w:ind w:left="2160" w:hanging="360"/>
      </w:pPr>
    </w:lvl>
    <w:lvl w:ilvl="3" w:tplc="CF9C245E">
      <w:start w:val="1"/>
      <w:numFmt w:val="bullet"/>
      <w:lvlText w:val="●"/>
      <w:lvlJc w:val="left"/>
      <w:pPr>
        <w:ind w:left="2880" w:hanging="360"/>
      </w:pPr>
    </w:lvl>
    <w:lvl w:ilvl="4" w:tplc="8996C578">
      <w:start w:val="1"/>
      <w:numFmt w:val="bullet"/>
      <w:lvlText w:val="○"/>
      <w:lvlJc w:val="left"/>
      <w:pPr>
        <w:ind w:left="3600" w:hanging="360"/>
      </w:pPr>
    </w:lvl>
    <w:lvl w:ilvl="5" w:tplc="1EBC7F58">
      <w:start w:val="1"/>
      <w:numFmt w:val="bullet"/>
      <w:lvlText w:val="■"/>
      <w:lvlJc w:val="left"/>
      <w:pPr>
        <w:ind w:left="4320" w:hanging="360"/>
      </w:pPr>
    </w:lvl>
    <w:lvl w:ilvl="6" w:tplc="C68429DA">
      <w:start w:val="1"/>
      <w:numFmt w:val="bullet"/>
      <w:lvlText w:val="●"/>
      <w:lvlJc w:val="left"/>
      <w:pPr>
        <w:ind w:left="5040" w:hanging="360"/>
      </w:pPr>
    </w:lvl>
    <w:lvl w:ilvl="7" w:tplc="E48EC94C">
      <w:start w:val="1"/>
      <w:numFmt w:val="bullet"/>
      <w:lvlText w:val="●"/>
      <w:lvlJc w:val="left"/>
      <w:pPr>
        <w:ind w:left="5760" w:hanging="360"/>
      </w:pPr>
    </w:lvl>
    <w:lvl w:ilvl="8" w:tplc="ECBEFA88">
      <w:start w:val="1"/>
      <w:numFmt w:val="bullet"/>
      <w:lvlText w:val="●"/>
      <w:lvlJc w:val="left"/>
      <w:pPr>
        <w:ind w:left="6480" w:hanging="360"/>
      </w:pPr>
    </w:lvl>
  </w:abstractNum>
  <w:num w:numId="1" w16cid:durableId="1742944539">
    <w:abstractNumId w:val="1"/>
    <w:lvlOverride w:ilvl="0">
      <w:startOverride w:val="1"/>
    </w:lvlOverride>
  </w:num>
  <w:num w:numId="2" w16cid:durableId="959453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87C"/>
    <w:rsid w:val="0056787C"/>
    <w:rsid w:val="00D2419D"/>
    <w:rsid w:val="00D73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A64E1"/>
  <w15:docId w15:val="{4FA593BE-C9C7-4FDA-9326-452AA2D2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1070</Words>
  <Characters>5885</Characters>
  <Application>Microsoft Office Word</Application>
  <DocSecurity>0</DocSecurity>
  <Lines>49</Lines>
  <Paragraphs>13</Paragraphs>
  <ScaleCrop>false</ScaleCrop>
  <Company/>
  <LinksUpToDate>false</LinksUpToDate>
  <CharactersWithSpaces>6942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Matias Ibañez</cp:lastModifiedBy>
  <cp:revision>2</cp:revision>
  <dcterms:created xsi:type="dcterms:W3CDTF">2026-07-17T03:08:00Z</dcterms:created>
  <dcterms:modified xsi:type="dcterms:W3CDTF">2026-07-17T03:11:00Z</dcterms:modified>
</cp:coreProperties>
</file>