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36"/>
          <w:szCs w:val="36"/>
          <w:lang w:val="el-GR"/>
        </w:rPr>
      </w:pPr>
      <w:r>
        <w:rPr>
          <w:rFonts w:eastAsia="Times New Roman" w:cs="Times New Roman" w:ascii="Times New Roman" w:hAnsi="Times New Roman"/>
          <w:b/>
          <w:bCs/>
          <w:i w:val="false"/>
          <w:iCs w:val="false"/>
          <w:caps w:val="false"/>
          <w:smallCaps w:val="false"/>
          <w:color w:val="000000" w:themeColor="text1" w:themeShade="ff" w:themeTint="ff"/>
          <w:sz w:val="36"/>
          <w:szCs w:val="36"/>
          <w:lang w:val="el-GR"/>
        </w:rPr>
        <w:t>Η ΕΚΠΑΙΔΕΥΤΙΚΗ ΧΡΗΣΗ ΤΗΣ ΡΟΜΠΟΤΙΚΗΣ ΣΤΗ ΔΕΥΤΕΡΟΒΑΘΜΙΑ ΕΚΠΑΙΔΕΥΣΗ</w:t>
      </w:r>
      <w:r>
        <w:rPr>
          <w:rFonts w:eastAsia="Times New Roman" w:cs="Times New Roman" w:ascii="Times New Roman" w:hAnsi="Times New Roman"/>
          <w:b w:val="false"/>
          <w:bCs w:val="false"/>
          <w:i w:val="false"/>
          <w:iCs w:val="false"/>
          <w:caps w:val="false"/>
          <w:smallCaps w:val="false"/>
          <w:color w:val="000000" w:themeColor="text1" w:themeShade="ff" w:themeTint="ff"/>
          <w:sz w:val="36"/>
          <w:szCs w:val="36"/>
          <w:lang w:val="el-GR"/>
        </w:rPr>
        <w:t xml:space="preserve"> </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 xml:space="preserve">Αλεξάνδρα Νεστορούδη 5288 </w:t>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 xml:space="preserve">Πολυξένη Ζαχάρη 5270 </w:t>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 xml:space="preserve">Ορέστης Τσαούσι 5198 </w:t>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 xml:space="preserve">Σαρδίων Ντατίδης 5142 </w:t>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Ιωάννης Αργυρόπουλος 5254</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Μεθοδολογία Εκπαιδευτικής Έρευνας 2021-2022</w:t>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r>
        <w:br w:type="page"/>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r>
        <w:br w:type="page"/>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el-GR"/>
        </w:rPr>
        <w:t>ΠΕΡΙΛΗΨΗ</w:t>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Η ρομποτική συμβάλλει στο να γίνει η καθημερινότητα μας πιο εύκολη. Έτσι, βοηθά και το σχολείο αλλά και τα παιδιά στον τρόπο σκέψης και επίλυσης πολύπλοκων προβλημάτων. Στην πανευρωπαϊκή CodeWeek που διοργανώθηκε τον Οκτώβριο, όλα περιστράφηκαν γύρω από την παιχνιδιάρικη διδασκαλία του κώδικα και του προγραμματισμού σε παιδιά και νέους. Η ρομποτική ήταν ένα από τα κεντρικά θέματα. Με τη χρήση ρομπότ στην τάξη, οι δάσκαλοι προωθούν τουλάχιστον δύο βασικές ικανότητες για το ψηφιακό μέλλον με αυτόν τον τρόπο, οι μαθητές μαθαίνουν τόσο τα βασικά του προγραμματισμού όσο και τις βασικές αρχές της ρομποτικής. Ταυτόχρονα, τα ρομπότ αντιπροσωπεύουν μια συναρπαστική και εξαιρετικά παρακινητική νέα ευκαιρία διδασκαλίας. Οι δάσκαλοι που θέλουν να ενσωματώσουν τη χρήση ρομπότ στην καθημερινή σχολική ζωή έχουν τώρα μια ολόκληρη σειρά επιλογών στη διάθεσή τους.</w:t>
      </w:r>
      <w:r>
        <w:rPr/>
        <w:tab/>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Τα ρομπότ μπορούν να χρησιμοποιηθούν σε πολλά διαφορετικά πλαίσια διδασκαλίας και είναι ιδιαίτερα κατάλληλα για τα θέματα STEM. Ανάλογα με το εύρος της απόδοσης και το σκοπό του ρομπότ, εκπαιδεύεται μια ολόκληρη σειρά δεξιοτήτων, οι οποίες είναι κατά κύριο λόγο στους τομείς «Επικοινωνία και Συνεργασία» καθώς και «Επίλυση προβλημάτων και δράση». Εκτός από έτοιμα ρομπότ, υπάρχουν και μοντέλα που οι μαθητές συναρμολογούν πρώτα μόνοι τους στην τάξη. Ακόμη και πριν από την πραγματική λειτουργία των ρομπότ, αυτό μεταφέρει επίσης τη δομή τους και προάγει ειδικότερα τις ηλεκτρικές και μηχανικές δεξιότητες. Ο στοχευμένος έλεγχος των τελικών ρομπότ και η αλληλεπίδραση με τις μηχανές, από την άλλη πλευρά, δημιουργεί μια βασική κατανόηση της μεθόδου εργασίας και της δομής εντολής των ρομπότ. Ο προσανατολισμός και η λογική σκέψη ενισχύονται επίσης με αυτόν τον τρόπο. Ο προγραμματισμός των ρομπότ είναι ιδιαίτερα διδακτικός. Εδώ, τα παιδιά και οι νέοι όχι μόνο εμβαθύνουν τις γνώσεις τους για τον έλεγχο των ρομπότ, αλλά αποκτούν και βασικές γνώσεις της επιστήμης των υπολογιστών και του προγραμματισμού που ξεπερνούν τη ρομποτική, από βασικές έννοιες και δομές έως συγκεκριμένη γλώσσα προγραμματισμού. Δεδομένου ότι τα ρομπότ εφαρμόζουν τις πρόσφατα προγραμματισμένες εντολές αμέσως, οι ενέργειές τους παρέχουν άμεση ανατροφοδότηση ως προς το εάν ένας κώδικας προγραμματίστηκε σωστά ή πρέπει να διορθωθεί. </w:t>
      </w:r>
    </w:p>
    <w:p>
      <w:pPr>
        <w:pStyle w:val="Normal"/>
        <w:spacing w:lineRule="auto" w:line="240" w:before="0" w:after="160"/>
        <w:ind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ind w:firstLine="72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Σκοπός της εργασίας είναι οι εκπαιδευτικοί να δουν τα θετικά και τα αρνητικά της χρήσης ρομποτικής στην εκπαίδευση και να αποφασίσουν για το αν θέλουν να το εντάξουν μέσα στην τάξη τους. Αυτό ειδικεύεται στα εξής ερευνητικά ερωτήματα:</w:t>
      </w:r>
    </w:p>
    <w:p>
      <w:pPr>
        <w:pStyle w:val="Normal"/>
        <w:spacing w:lineRule="auto" w:line="240" w:before="0" w:after="16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Ερώτηση 1:</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Πώς οι καθηγητές, με λίγη εμπειρία στην διδασκαλία, μπορούν να εξοικειωθούν με τις ψηφιακές τεχνολογίες που προσφέρει η επιστήμη της εκπαιδευτικής ρομποτικής;</w:t>
      </w:r>
    </w:p>
    <w:p>
      <w:pPr>
        <w:pStyle w:val="Normal"/>
        <w:spacing w:lineRule="auto" w:line="240" w:before="0" w:after="16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Ερώτηση 2</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Ποια τα γνωστικά οφέλη των μαθητών στους επιμέρους τομείς που απαρτίζουν την εκπαιδευτική ρομποτική (προγραμματισμός, μηχανική, σχεδιασμός λύσεων);</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bCs/>
          <w:i w:val="false"/>
          <w:iCs w:val="false"/>
          <w:caps w:val="false"/>
          <w:smallCaps w:val="false"/>
          <w:color w:val="000000" w:themeColor="text1" w:themeShade="ff" w:themeTint="ff"/>
          <w:sz w:val="24"/>
          <w:szCs w:val="24"/>
          <w:lang w:val="el-GR"/>
        </w:rPr>
        <w:t>Λέξεις – Κλειδιά:</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 Εκπαιδευτική Ρομποτική, Δευτεροβάθμια Εκπαίδευση, Μάθηση, Σχολικό Περιβάλλον. </w:t>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br/>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r>
        <w:br w:type="page"/>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color w:val="000000" w:themeColor="text1" w:themeShade="ff" w:themeTint="ff"/>
          <w:sz w:val="28"/>
          <w:szCs w:val="28"/>
          <w:lang w:val="el-GR"/>
        </w:rPr>
        <w:t>ΕΙΣΑΓΩΓΗ</w:t>
      </w:r>
      <w:r>
        <w:rPr>
          <w:rFonts w:eastAsia="Times New Roman" w:cs="Times New Roman" w:ascii="Times New Roman" w:hAnsi="Times New Roman"/>
          <w:b w:val="false"/>
          <w:bCs w:val="false"/>
          <w:i w:val="false"/>
          <w:iCs w:val="false"/>
          <w:caps w:val="false"/>
          <w:smallCaps w:val="false"/>
          <w:color w:val="000000" w:themeColor="text1" w:themeShade="ff" w:themeTint="ff"/>
          <w:sz w:val="28"/>
          <w:szCs w:val="28"/>
          <w:lang w:val="el-GR"/>
        </w:rPr>
        <w:t xml:space="preserve">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Τα τελευταία χρόνια η πληροφορική και οι τεχνολογίες της έχουν γίνει αναπόσπαστο κομμάτι της εκπαιδευτικής διαδικασίας σε όλες τις βαθμίδες εκπαίδευσης. Από τις πιο απλές εφαρμογές επεξεργασίας εγγράφων, έως τις πλατφόρμες σύγχρονης και ασύγχρονης τηλεκπαίδευσης, οι τεχνολογίες αυτές προστίθενται στα εκπαιδευτικά εργαλεία διαμορφώνοντας την διαδικασία της μάθησης πιο ελκυστική, αποτελεσματική και άμεση.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Η ενσωμάτωση καινοτομιών στην δευτεροβάθμια εκπαίδευση συνήθως κινεί το ενδιαφέρον της εκπαιδευτικής κοινότητας, δημιουργεί υψηλές προσδοκίες για τα επερχόμενα αποτελέσματα θέτοντας ταυτόχρονα και υψηλούς στόχους και συμβάλλει στην προσπάθεια της κατανόησης της πληροφορικής του κόσμου που διαμορφώνεται από τις Τεχνολογίες της Πληροφορίας στην εκπαίδευση. Μία από αυτές τις καινοτομίες αποτελεί τα τελευταία χρόνια και η ρομποτική. Ο όρος «εκπαιδευτική ρομποτική» αναφέρεται στη διδακτική πρακτική που τη χαρακτηρίζει, η οποία διαμορφώνει ένα μαθησιακό περιβάλλον που μπορεί και υποστηρίζει τη μάθηση και την ανάπτυξη σύγχρονων ικανοτήτων για τους μαθητές, απαραίτητων στον 21ο αιώνα.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Ταυτόχρονα, κερδίζουν όλο και περισσότερο έδαφος στον εκπαιδευτικό τομέα οι εκπαιδευτικές δραστηριότητες ρομποτικής. Τα τελευταία δέκα έτη, η εκπαιδευτική ρομποτική έχει κάνει την είσοδό της στο σχολικό περιβάλλον. Η ενσωμάτωση της ρομποτικής στην εκπαιδευτική διαδικασία συμβάλλει στην καλλιέργεια ανώτερων δεξιοτήτων και ικανοτήτων των μαθητευόμενων, όπως είναι η δημιουργικότητα, η αναγνώριση και επίλυση προβλημάτων, η επικοινωνία - συνεργασία - ομαδικότητα, η λήψη αποφάσεων. Επιπλέον, ωθεί τα παιδιά στην ενασχόληση και πρακτική εφαρμογή του προγραμματισμού, του σχεδιασμού μηχανικής και κατασκευών και τη φυσική.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Παρόλα αυτά, η ένταξή της στο εκπαιδευτικό πρόγραμμα καθυστερεί, με αποτέλεσμα να γεννώνται προβληματισμοί σχετικά με τις διάφορες προϋποθέσεις που απαιτούνται αλλά και τις δυσκολίες που ενδεχομένως αντιμετωπίζει ο εκπαιδευτικός κλάδος. Στις μέρες μας, η εκπαιδευτική ρομποτική εφαρμόζεται κυρίως σε άκρως περιορισμένο αριθμό σχολείων, στα πλαίσια της προετοιμασίας για τη συμμετοχή σε διαγωνισμούς ρομποτικής, σε εξωσχολικές ώρες, δηλαδή εκτός του διδακτικού ωραρίου των εκπαιδευτικών. Βάση του ότι διεθνής έρευνες έχουν καταδείξει τις θετικές επιδράσεις που έχει η εφαρμογή της στους μαθητές, καθίσταται όλο και πιο επιβεβλημένη η εισαγωγή της στις εκπαιδευτικές διαδικασίες.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Είναι αντιληπτό ότι η παραδοσιακή μέθοδος μάθησης, λόγω των ραγδαίων εξελίξεων στην επιστήμη και στην τεχνολογία, δεν μπορεί να συμβάλλει στον επιστημονικό και τεχνολογικό αλφαβητισμό. Η υποχρεωτική εκπαίδευση, βασικός σκοπός της οποίας είναι η ανάπτυξη σύνθετων γνωστικών δεξιοτήτων και η ομαλή κοινωνική ενσωμάτωση, συνδυάζεται και με την απόκτηση επιστημονικών και τεχνολογικών γνώσεων και ικανοτήτων για ενσωμάτωση στην επερχόμενη κοινωνία γνώσης και την εποχή της πληροφορίας. Είναι προφανές πως για την επίτευξη των προαναφερθέντων, δεν επαρκεί η απλή διδασκαλία αλλά απαιτείται ένας επαναπροσδιορισμός των διαδικασιών μάθησης του σχολικού προγράμματος και της λειτουργίας του εκπαιδευτικού συστήματος γενικότερα, με σκοπό να σχηματιστεί το καταλληλότερο περιβάλλον μάθησης. </w:t>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r>
        <w:br w:type="page"/>
      </w:r>
    </w:p>
    <w:p>
      <w:pPr>
        <w:pStyle w:val="Normal"/>
        <w:spacing w:lineRule="auto" w:line="240" w:before="0" w:after="160"/>
        <w:ind w:left="0" w:hanging="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8"/>
          <w:szCs w:val="28"/>
          <w:u w:val="none"/>
          <w:lang w:val="el-GR"/>
        </w:rPr>
        <w:t>Βιβλιογραφική Ανασκόπηση</w:t>
      </w:r>
      <w:r>
        <w:rPr>
          <w:rFonts w:eastAsia="Times New Roman" w:cs="Times New Roman" w:ascii="Times New Roman" w:hAnsi="Times New Roman"/>
          <w:b/>
          <w:bCs/>
          <w:i/>
          <w:iCs/>
          <w:caps w:val="false"/>
          <w:smallCaps w:val="false"/>
          <w:strike w:val="false"/>
          <w:dstrike w:val="false"/>
          <w:color w:val="000000" w:themeColor="text1" w:themeShade="ff" w:themeTint="ff"/>
          <w:sz w:val="28"/>
          <w:szCs w:val="28"/>
          <w:u w:val="none"/>
          <w:lang w:val="el-GR"/>
        </w:rPr>
        <w:t xml:space="preserve">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Η ρομποτική έχει κεντρίσει το ενδιαφέρον πολλών ανθρώπων σε όλο τον κόσμο, ειδικότερα στην Ελλάδα. Έχει παρατηρηθεί μεγάλη αύξηση στην ενασχόληση με την ρομποτική ακόμα και στα παιδιά του Δημοτικού. Γίνονται διάφοροι διαγωνισμοί, όπως το First Lego League Explore, στο οποίο συμμετέχουν πολλά παιδιά αυτής της ηλικίας. Παρατηρείται, επίσης, μεγαλύτερο ενδιαφέρον και στους μαθητές της Δευτεροβάθμιας εκπαίδευσης. Γενικά, όλοι οι άνθρωποι ασχολούνται με την ρομποτική, καθώς έχει διαπιστωθεί ότι έχουν αυξηθεί οι πωλήσεις σε ρομποτικές εφευρέσεις και παιχνίδια (Jeffrey Johnson, 2003). Το πόσο πολύ χρησιμοποιείται από τα παιδιά είναι που κάνει την ρομποτική τόσο σημαντική σε βαθμό που χρειάζεται να γίνει έρευνα πάνω της. Η συγκεκριμένη έρευνα, όμως, επικεντρώνεται στην ρομποτική που χρησιμοποιείται στην εκπαίδευση. Τι συμβαίνει, λοιπόν, με το εκπαιδευτικό σύστημα και την ρομποτική στην Ελλάδα αλλά και στο εξωτερικό;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Σε άλλες χώρες του κόσμου, η ρομποτική χρησιμοποιείται στην εκπαίδευση. Για παράδειγμα, την Αμερική υπάρχει το πρόγραμμα BEST Robotics για τα παιδιά που θέλουν να ασχοληθούν την ρομποτική στο μάθημα. Το πρόγραμμα αυτό υπάρχει σε 19 πολιτείες εδώ και 22 χρόνια και επιτρέπει στους μαθητές να χρησιμοποιήσουν την δημιουργικότητά τους και να φτιάξουν ρομπότ από διάφορα στοιχεία. Στην πατρίδα μας έκανε την εμφάνισή της πριν 35 χρόνια ενώ οι Τεχνολογίες της Πληροφορίας και των Επικοινωνιών (ΤΠΕ) είναι ένα αντικείμενο στενά συνυφασμένο με την εκπαίδευση εδώ και περίπου 45 χρόνια παγκοσμίως. Η εισαγωγή της στο ελληνικό εκπαιδευτικό σύστημα ξεκίνησε από τα Τεχνικά - Επαγγελματικά και τα Πολυκλαδικά Λύκεια το 1983 και διευρύνθηκε στα Γυμνάσια το 1992. Από το 1998 και έπειτα, οι ΤΠΕ προχώρησαν στο Γενικό Λύκειο. Εκεί, η προσέγγιση έγινε περισσότερο επιστημονική, εισάγοντας τους μαθητές σε βασικές έννοιες σχεδίασης και ανάλυσης αλγορίθμων και προγραμματισμού υπολογιστών. Επίσης, υπάρχουν διάφοροι οργανισμοί, όπως ο οργανισμός Εκπαιδευτικής Ρομποτικής Επιστήμης και Τεχνολογίας (W.R.O. Hellas), που διοργανώνει πανελλήνιους διαγωνισμούς ρομποτικής για μαθητές πρωτοβάθμιας και δευτεροβάθμιας εκπαίδευσης και συμμετέχει σε διεθνείς ολυμπιάδες ρομποτικής. Η W.R.O. Hellas έχει ως στόχο την εισαγωγή της εκπαιδευτικής ρομποτικής στην ελληνική εκπαίδευση.</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Η βιβλιογραφία δείχνει ότι η ρομποτική προσφέρει πολλά όπως επίσης βοηθάει και κινεί τα παιδιά να μάθουν καλύτερα από τον παραδοσιακό τρόπο (Jeffrey Johnson, 2003). Δηλαδή, πιο καλά καταλαβαίνει το παιδί για την φυσική όταν μπορεί να το εξασκήσει κάπου, όπως για να φτιάξει ένα ηλεκτρικό κύκλωμα, παρά να το μαθαίνει μόνο σαν θεωρία. Επίσης, αυξάνει τις κοινωνικές του δεξιότητες με την ένταξή του σε ομάδες για την επίτευξη κάποιου στόχου, όπως την δημιουργία του ηλεκτρικού κυκλώματος που αναφέρθηκε πιο πάνω (Jeffrey Johnson, 2003). Βελτιώνει την φαντασία του και την δημιουργικότητά του (Jeffrey Johnson, 2003). Κεντρίζει το ενδιαφέρον του για την επιστήμη και την μηχανική και έτσι μπορεί να αποφασίσει να διαβάσει και να μάθει περισσότερα για αυτό, ακολουθώντας στο μέλλον μια καριέρα πάνω στο αντικείμενο (David P. Miller &amp; Illah Nourbakhsh, 2016). Τέλος, μαθαίνει στα παιδιά να επιλύουν πιο εύκολα διάφορα πολύπλοκα προβλήματα, κάτι το οποίο δεν επιτυγχάνεται από την παραδοσιακή διδασκαλία των σχολείων (David P. Miller &amp; Illah Nourbakhsh, 2016). </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Με την εκπαιδευτική ρομποτική οι εκπαιδευόμενοι έχουν τη δυνατότητα να έρθουν σε επαφή με τη γνώση με ποικίλους τρόπους, τρόπους με τους οποίους η διαδικασία της μάθησης γίνεται πιο εύπεπτη, πιο διαδραστική, πιο ενδιαφέρουσα και καθιστά τα παιδιά πιο δεκτικά προς αυτή. Εκτός όμως από όλα τα προαναφερθέντα οφέλη, η ένταξη της ρομποτικής στις εκπαιδευτικές διαδικασίες έχει και ορισμένα αρνητικά. Ένα από αυτά είναι το κόστος, το οποίο δεν αφορά μόνο την αγορά εξοπλισμού αλλά και την εγκατάσταση, την συντήρηση ή ακόμα και σε αρκετές περιπτώσεις, την επισκευή των ρομπότ και των υπόλοιπων εργαλείων που τα συνοδεύουν. Αυτό συνεπάγεται ότι ένα σχολείο θα πρέπει να στηρίζεται από το κράτος σε τεράστιο βαθμό ή να χρηματοδοτείται από μία εταιρία μέσω κάποιας μεταξύ τους συνεργασίας. Ένα άλλο αρνητικό θεωρείται και ο εθισμός που μπορεί να δημιουργηθεί, στην χρήση της τεχνολογίας και κατ’ επέκταση στην εξολοκλήρου εξάρτηση από αυτή, ακόμα και για απλά, καθημερινά πράγματα. Επίσης, ενδέχεται, ειδικά στην Ελλάδα, να υπάρχει μη εξειδικευμένο προσωπικό στη σχολική μονάδα ούτως ώστε να μπορεί να αξιοποιήσει ορθά τις τεχνολογίες της ρομποτικής και της πληροφορικής γενικότερα, καθιστώντας τες ουσιαστικά άχρηστες ή ακόμα και “επικίνδυνες” διότι μπορεί να αποφέρει στα παιδιά εντελώς αντίθετα αποτελέσματα από τα επιθυμητά και έτσι, εκεί που υπήρχε ένας σύγχρονος τρόπος να τα φέρουμε πιο κοντά στη γνώση και να καταφέρουμε να την αγαπήσουν, θα τα απομακρύνουμε εντελώς μέχρι να (κι αν τελικά) βρεθεί κάποιος άλλος τρόπος να τα προσεγγίσουμε και πάλι. Τέλος, από αυτή την απουσία εξειδίκευσης ή ακόμα και μίας απλής - εισαγωγικής γνωριμίας με το αντικείμενο, μπορεί οδηγήσει σε διόγκωση του προβλήματος της αποξένωσης και της έλλειψης προσωπικών συνδέσεων και σχέσεων, αφού μπορεί να θεωρηθεί πως η τεχνολογίας λειτουργεί ως υποκατάστατο των ανθρώπινων, προσωπικών αλληλεπιδράσεων, τόσο από τους μαθητές, όσο και από τους δασκάλους. Οπότε, με βάση την βιβλιογραφία, υπάρχουν και θετικά αλλά και αρνητικά αποτελέσματα της χρήσης της ρομποτικής στην εκπαίδευση. Για αυτό γίνεται και η συγκεκριμένη έρευνα: για να διαπιστωθεί το αν οι εκπαιδευτικοί πιστεύουν ότι η χρήση της έχει καλές ή κακές επιδράσεις στη μάθηση στα παιδιά ή ακόμα και στα ίδια τα παιδιά σαν άτομα. Δηλαδή, αν θα βοηθήσει τους μαθητές της δευτεροβάθμιας εκπαίδευσης να σκέφτονται με κάποιον καινούριο τρόπο ή αν τελικά είναι μία απόσπαση της προσοχής των μαθητών από τα βασικά μαθήματα του σχολείου. Θα βρεθούν έτσι και περισσότερα αρνητικά και θετικά που μπορεί να υπάρχουν.</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l-GR"/>
        </w:rPr>
      </w:pPr>
      <w:r>
        <w:rPr/>
        <w:br/>
        <w:br/>
        <w:br/>
      </w:r>
    </w:p>
    <w:p>
      <w:pPr>
        <w:pStyle w:val="Normal"/>
        <w:spacing w:lineRule="auto" w:line="240" w:before="0" w:after="160"/>
        <w:jc w:val="center"/>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8"/>
          <w:szCs w:val="28"/>
          <w:u w:val="none"/>
          <w:lang w:val="el-GR"/>
        </w:rPr>
        <w:t>ΜΕΘΟΔΟΛΟΓΙΑ ΕΡΕΥΝΑΣ</w:t>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Η εκπαιδευτική έρευνα, στην οποία ανήκει η εργασία μας, γίνεται πλέον κατά κύριο λόγο μέσα από ποιοτικά σχέδια, όπως μας αναφέρει ο Robson (2010). Ακόμα οι Anastas και MacDonald (1994), (στο Robson, 2010) ονομάζουν τις μεθόδους έρευνας που έχουν ως αποτέλεσμα ποιοτικά δεδομένα και ευέλικτα σχέδια. Η έννοια ευέλικτα αναφέρεται στο ότι χρειάζονται πολύ λιγότερες προδιαγραφές και το σχέδιο εξελίσσεται, αναπτύσσεται και «ξετυλίγεται» (όπως χαρακτηριστικά αναφέρει ο Robson) καθώς προχωρά η έρευνα. Ακόμα η λέξη ευέλικτη μπορεί να αντικαταστήσει τη λέξη ποιοτική όταν η έρευνα κάνει χρήση μεικτών μεθόδων που μπορούν να παράγουν και ποσοτικά και ποιοτικά δεδομένα. Επίσης το αρχικό δείγμα μπορεί να μεταβληθεί, τα ερευνητικά ερωτήματα να τροποποιηθούν, ακόμα και να τροποποιηθεί ο σκοπός της μελέτης. Αυτή η δυναμικότητα διακατέχει την παρούσα εργασία στην οποία όλες οι πτυχές της έρευνας εξελίσσονταν ταυτόχρονα. Ταυτόχρονα προσπαθήσαμε να υπάρχει όσο το δυνατόν υψηλότερη συμβατότητα μεταξύ των συνιστωσών ενός ερευνητικού σχεδίου, δηλαδή των σκοπών, της θεωρίας, των ερευνητικών ερωτημάτων, των μεθόδων και της δειγματοληπτικής στρατηγικής (Robson, 2010).</w:t>
      </w:r>
    </w:p>
    <w:p>
      <w:pPr>
        <w:pStyle w:val="Normal"/>
        <w:spacing w:lineRule="auto" w:line="240" w:before="0" w:after="160"/>
        <w:ind w:left="0"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Καθώς μελετάμε μια περίπτωση του πραγματικού κόσμου, επιλέξαμε την ερευνητική στρατηγική της μελέτης περίπτωσης, όπου περίπτωση μπορούμε να ονομάσουμε μια ομάδα καθηγητών που διδάσκουν σε σχολείο της δημόσιας δευτεροβάθμιας εκπαίδευσης στην Ελλάδα.</w:t>
      </w:r>
    </w:p>
    <w:p>
      <w:pPr>
        <w:pStyle w:val="Normal"/>
        <w:spacing w:lineRule="auto" w:line="240" w:before="0" w:after="160"/>
        <w:ind w:left="0"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Λόγω του θέματος της εργασίας, χρησιμοποιούμε ταυτόχρονα και την σχεδιαστική έρευνα design-based research (DBR) που είναι μια προσέγγιση για τη μελέτη νέων εργαλείων και τεχνικών στην εκπαίδευση στο πλαίσιο των μαθησιακών περιβαλλόντων της καθημερινής ζωής (Bers&amp;Horn, 2010). Ως μεθοδολογία, η σχεδιαστική έρευνα αναγνωρίζει τους ουσιώδεις περιορισμούς της διεξαγωγής μιας έρευνας στο περίπλοκο περιβάλλον της σχολικής τάξης, παρόλα αυτά οι ερευνητές ελπίζουν ότι σε ανταπόδοση θα σχεδιαστούν παρεμβάσεις που θα είναι αποτελεσματικές για μελλοντική χρήση στην τάξη. Αυτό το είδος έρευνας βασίζεται σε μια επαναλαμβανόμενη διαδικασία σχεδιασμού, αξιολόγησης και ελέγχου. Με τη συλλογή ποιοτικών αλλά ποσοτικών δεδομένων σε ένα μη εργαστηριακό περιβάλλον, η σχεδιαστική έρευνα έχει έναν επιπλέον στόχο, να αναπτυχθούν θεωρίες μάθησης που θα συνεισφέρουν σε μελλοντική έρευνα. Η μεθοδολογία αυτή διαθέτει τα χαρακτηριστικά της μελέτης περίπτωσης, όμως εξειδικεύεται στα τεχνολογικά μέσα και την καινοτομία. Ιδιαίτερα εστιάζει στον σχεδιασμό και την ανακάλυψη όλου του εύρους των σχεδιασμένων καινοτομιών. Οι παρεμβάσεις ενσωματώνουν συγκεκριμένους θεωρητικούς ισχυρισμούς σχετικά με τη διδασκαλία και τη μάθηση ενώ ταυτόχρονα μπορούν να συμβάλουν στην εξέλιξη των θεωριών αυτών (Bers&amp;Horn, 2010).</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8"/>
          <w:szCs w:val="28"/>
          <w:u w:val="none"/>
          <w:lang w:val="el-GR"/>
        </w:rPr>
        <w:t>Επιλογή δείγματος</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Σε κάθε έρευνα, ποσοτική ή ποιοτική πρέπει ο ερευνητής να συλλέξει δεδομένα από έναν δεδομένο αριθμό ανθρώπων (ή πραγμάτων) από έναν πληθυσμό (Mertens, 2009). Στην ποσοτική έρευνα επιλέγεται συχνότερα η τυχαία δειγματοληψία ώστε τα άτομα να είναι αντιπροσωπευτικά και να μπορούν τα ευρήματα να γενικευτούν στο πληθυσμό, ενώ στην ποιοτική οι ερευνητές προτιμούν άτομα που μπορούν να συμβάλουν στην κατανόηση του κεντρικού φαινομένου (Creswell, 2011). Για την ποιοτική δειγματοληψία χρησιμοποιείται επίσης ο όρος σκόπιμη δειγματοληψία (Creswell, 2011) και το κριτήριο για την επιλογή της είναι η εξασφάλιση «πλούτου πληροφοριών». Όντας εκπαιδευτική έρευνα, το πλαίσιο δειγματοληψίας είναι οι καθηγητές δευτεροβάθμιας εκπαίδευσης, συγκεκριμένου γενικού λυκείου. Συγκεκριμένα πρόκειται για 23 καθηγητές με μεγάλη διαφορά στην ηλικία και στην εμπειρία. Το δείγμα σε αυτή την έρευνα επιλέχθηκε με βάση τη μέθοδο της βολικής δειγματοληψίας (Creswell, 2011, Mertens, 2009). Στη βολική δειγματοληψία (convenience sampling) ο ερευνητής επιλέγει τους συμμετέχοντες επειδή είναι πρόθυμοι και διαθέσιμοι να συμμετάσχουν στη μελέτη (Creswell, 2011). Ο ερευνητής, βέβαια, δεν μπορεί να πει με σιγουριά ότι τα άτομα αυτά είναι αντιπροσωπευτικά του πληθυσμού και δεν πρέπει να προσπαθήσει να γενικεύσει τα αποτελέσματα στον γενικότερο πληθυσμό, παρόλα αυτά το δείγμα μπορεί να δώσει χρήσιμες πληροφορίες και να απαντηθούν ερωτήματα και υποθέσεις. Το σχολείο αυτό είναι σε σχετικά απομακρυσμένη περιοχή, με την ιδιαιτερότητα ότι οι μαθητές που το απαρτίζουν έχουν την δυνατότητα να μεταφερθούν από το συγκεκριμένο σχολείο, στο οποίο θα γίνει η έρευνα, σε ένα άλλο όχι πιο μακριά από αυτό. </w:t>
      </w:r>
    </w:p>
    <w:p>
      <w:pPr>
        <w:pStyle w:val="Normal"/>
        <w:spacing w:lineRule="auto" w:line="240" w:before="0" w:after="160"/>
        <w:ind w:firstLine="720"/>
        <w:jc w:val="both"/>
        <w:rPr>
          <w:rFonts w:ascii="Segoe UI" w:hAnsi="Segoe UI" w:eastAsia="Segoe UI" w:cs="Segoe UI"/>
          <w:b w:val="false"/>
          <w:b w:val="false"/>
          <w:bCs w:val="false"/>
          <w:i w:val="false"/>
          <w:i w:val="false"/>
          <w:iCs w:val="false"/>
          <w:caps w:val="false"/>
          <w:smallCaps w:val="false"/>
          <w:color w:val="000000" w:themeColor="text1" w:themeShade="ff" w:themeTint="ff"/>
          <w:sz w:val="22"/>
          <w:szCs w:val="22"/>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Η πλειοψηφία των καθηγητών δεν έχει μεγάλη επαφή με την καινούρια τεχνολογία και δεν ακολουθούν τις αλλαγές που γίνονται σε αυτήν. Άλλοι καθηγητές, λόγω της νέας τους ηλικίας, είναι πιο ενήμεροι σχετικά με την τεχνολογία. Έτσι, είναι πιο πιθανό να γνωρίζουν και να εφαρμόσουν την ρομποτική στην εκπαίδευση. Το δείγμα μας είναι από διάφορες μεριές της κεντρικής Μακεδονίας και με διαφορετική εμπειρία πάνω στην διδασκαλία. Αυτά είναι που τους κάνουν το κατάλληλο δείγμα για την παρούσα έρευνα.</w:t>
      </w:r>
    </w:p>
    <w:p>
      <w:pPr>
        <w:pStyle w:val="Normal"/>
        <w:spacing w:lineRule="auto" w:line="240" w:before="0" w:after="160"/>
        <w:ind w:firstLine="72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Χρησιμοποιήσαμε το ερωτηματολόγιο για να συλλέξουμε κάποιες βασικές πληροφορίες σχετικά με τις διάφορες απόψεις που έχουν οι καθηγητές πάνω στην χρήση της ρομποτικής στην εκπαίδευση. Αυτό δόθηκε στους καθηγητές πριν ξεκινήσει η υλοποίηση της δραστηριότητας. Το ερωτηματολόγιο περιέχει ερωτήσεις ανοιχτούς και κλειστού τύπου. Έχει ως στόχο να γίνει γνωστό το ηλικιακό πλαίσιο πάνω στο οποίο γίνεται η έρευνάς μας, αλλά και για να παρθούν διάφορες σημαντικές πληροφορίες πάνω στο δείγμα που επιλέχθηκε. Έγινε προσπάθεια ώστε οι ερωτήσεις να είναι διατυπωμένες με απλή γλώσσα και να είναι σύντομες και κατανοητές. Οι καθηγητές συμπλήρωσαν το ερωτηματολόγιο σε ηλεκτρονική μορφή.</w:t>
      </w:r>
    </w:p>
    <w:p>
      <w:pPr>
        <w:pStyle w:val="Normal"/>
        <w:spacing w:lineRule="auto" w:line="240" w:before="0" w:after="160"/>
        <w:ind w:firstLine="72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4"/>
          <w:szCs w:val="24"/>
          <w:u w:val="none"/>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Φυσικά, υπήρχαν και αρκετοί περιορισμοί που παρουσιάστηκαν κατά την διάρκεια της απάντησης του ερωτηματολογίου. Ένας περιορισμός ήταν το γεγονός ότι από τους 23 καθηγητές, που ήταν να ερωτηθούν, οι 5 απουσίαζαν εκείνη την μέρα. Από τους υπόλοιπους 18 καθηγητές, 2 από αυτούς δεν γνώριζαν κάποιες έννοιες που παρουσιάζονταν στο ερωτηματολόγιο, με αποτέλεσμα να μην ρωτήσουν πριν απαντήσουν και έτσι υπάρχουν 2 μη αληθής απαντήσεις.</w:t>
      </w:r>
    </w:p>
    <w:p>
      <w:pPr>
        <w:pStyle w:val="Normal"/>
        <w:spacing w:lineRule="auto" w:line="240" w:before="0" w:after="160"/>
        <w:ind w:hanging="0"/>
        <w:jc w:val="left"/>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4"/>
          <w:szCs w:val="24"/>
          <w:u w:val="none"/>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r>
    </w:p>
    <w:p>
      <w:pPr>
        <w:pStyle w:val="Normal"/>
        <w:spacing w:lineRule="auto" w:line="240" w:before="0" w:after="160"/>
        <w:ind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8"/>
          <w:szCs w:val="28"/>
          <w:u w:val="none"/>
          <w:lang w:val="el-GR"/>
        </w:rPr>
        <w:t>Ερωτηματολόγιο</w:t>
      </w:r>
    </w:p>
    <w:p>
      <w:pPr>
        <w:pStyle w:val="Normal"/>
        <w:spacing w:lineRule="auto" w:line="240" w:before="0" w:after="160"/>
        <w:ind w:firstLine="72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Το ερωτηματολόγιο δόθηκε στους καθηγητές για να συλλεχθούν δεδομένα σχετικά με απόψεις για  χρήση της ρομποτικής στην εκπαίδευση. Στο παρακάτω λινκ ακολουθούν αναλυτικά οι ερωτήσεις.</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sz w:val="24"/>
          <w:szCs w:val="24"/>
          <w:lang w:val="el-GR"/>
        </w:rPr>
        <w:t>https://forms.gle/Vb71RzSELupFaHCG7</w:t>
      </w:r>
    </w:p>
    <w:p>
      <w:pPr>
        <w:pStyle w:val="Normal"/>
        <w:spacing w:lineRule="auto" w:line="240" w:before="0" w:after="160"/>
        <w:jc w:val="center"/>
        <w:rPr/>
      </w:pPr>
      <w:r>
        <w:rPr/>
        <w:drawing>
          <wp:inline distT="0" distB="0" distL="0" distR="0">
            <wp:extent cx="4572000" cy="4019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572000" cy="4019550"/>
                    </a:xfrm>
                    <a:prstGeom prst="rect">
                      <a:avLst/>
                    </a:prstGeom>
                  </pic:spPr>
                </pic:pic>
              </a:graphicData>
            </a:graphic>
          </wp:inline>
        </w:drawing>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l-GR"/>
        </w:rPr>
      </w:pPr>
      <w:r>
        <w:rPr/>
        <w:br/>
        <w:br/>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rFonts w:eastAsia="Calibri" w:cs="Calibri"/>
          <w:b w:val="false"/>
          <w:bCs w:val="false"/>
          <w:i w:val="false"/>
          <w:iCs w:val="false"/>
          <w:caps w:val="false"/>
          <w:smallCaps w:val="false"/>
          <w:color w:val="000000" w:themeColor="text1" w:themeShade="ff" w:themeTint="ff"/>
          <w:sz w:val="22"/>
          <w:szCs w:val="22"/>
          <w:lang w:val="el-GR"/>
        </w:rPr>
      </w:r>
      <w:r>
        <w:br w:type="page"/>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8"/>
          <w:szCs w:val="28"/>
          <w:u w:val="single"/>
          <w:lang w:val="el-GR"/>
        </w:rPr>
        <w:t>Βιβλιογραφία</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2"/>
          <w:szCs w:val="22"/>
          <w:lang w:val="el-GR"/>
        </w:rPr>
      </w:pPr>
      <w:r>
        <w:rPr/>
        <w:b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4"/>
          <w:szCs w:val="24"/>
          <w:u w:val="none"/>
          <w:lang w:val="el-GR"/>
        </w:rPr>
        <w:t>Ξενόγλωσση</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Acharya, S., Sirinterlikci, A. (2010). Introducing engineering design through an intelligent</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Rube Goldberg Implementation. Journal of Technology Studies, 36 (2), 63.</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Bers, M. U., Ponte, I., Juelich, K., Viera, A., &amp; Schenker, J. (2002). Teachers as designers:</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Integrating robotics into early childhood education. Information Technology in</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Childhood Education, AACE, 123-145.</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Bers, M. U. (2008). Blocks, robots and computers: Learning about technology in early</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childhood. New York: Teacher’s College Press.</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Boy, G. (2013). From STEM to STEAM: Toward a Human-Centered Education, Creativity &amp;</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Learning Thinking. Proceedings of the European Conference on Cognitive Ergonomics,</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ECCE 2013, Université Toulouse le Mirail, France, 26-28 August 2013.</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Clements, D. (1999). Geometric and spatial thinking in young children. In J. V. Copley (Ed.),</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Mathematics in the early years (pp. 66–79). Reston, VA: National Council of Teachers of</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Mathematics.</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Creswell, J. (2011). Η έρευνα στην εκπαίδευση, Σχεδιασμός, Διεξαγωγή και Αξιολόγηση της</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Ποσοτικής και της Ποιοτικής Έρευνας. Αθήνα: Ίων.</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European Comission (2014). Survey of Schools: ICT in Education. (διαθέσιμο στο</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hyperlink r:id="rId3">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https://ec.europa.eu/digital-agenda/sites/digital-agenda/files/KK-31-13-401-EN-N.pdf</w:t>
        </w:r>
      </w:hyperlink>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Henriksen, D. (2014). Full STEAM Ahead: Creativity in Excellent STEM Teaching Practices.</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The STEAM Journal: Vol. 1: Iss. 2, Article 15</w:t>
      </w:r>
    </w:p>
    <w:p>
      <w:pPr>
        <w:pStyle w:val="Normal"/>
        <w:spacing w:lineRule="auto" w:line="240" w:before="0" w:after="160"/>
        <w:ind w:left="0" w:hanging="0"/>
        <w:jc w:val="both"/>
        <w:rPr>
          <w:rFonts w:ascii="Calibri" w:hAnsi="Calibri" w:eastAsia="Calibri" w:cs="Calibri"/>
          <w:b w:val="false"/>
          <w:b w:val="false"/>
          <w:bCs w:val="false"/>
          <w:i w:val="false"/>
          <w:i w:val="false"/>
          <w:iCs w:val="false"/>
          <w:caps w:val="false"/>
          <w:smallCaps w:val="false"/>
          <w:color w:val="000000" w:themeColor="text1" w:themeShade="ff" w:themeTint="ff"/>
          <w:sz w:val="28"/>
          <w:szCs w:val="28"/>
          <w:lang w:val="el-GR"/>
        </w:rPr>
      </w:pPr>
      <w:r>
        <w:rPr>
          <w:rFonts w:eastAsia="Calibri" w:cs="Calibri"/>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ind w:left="0"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Johnson, J. (2003). Children, robotics, and Education.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Artificial Life and Robotics</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7</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(1-2), 16–21. </w:t>
      </w:r>
      <w:hyperlink r:id="rId4">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https://doi.org/10.1007/bf02480880</w:t>
        </w:r>
      </w:hyperlink>
    </w:p>
    <w:p>
      <w:pPr>
        <w:pStyle w:val="Normal"/>
        <w:spacing w:lineRule="auto" w:line="240" w:before="0" w:after="160"/>
        <w:ind w:left="0" w:hanging="0"/>
        <w:jc w:val="both"/>
        <w:rPr>
          <w:rFonts w:ascii="Calibri" w:hAnsi="Calibri" w:eastAsia="Calibri" w:cs="Calibri"/>
          <w:b w:val="false"/>
          <w:b w:val="false"/>
          <w:bCs w:val="false"/>
          <w:i w:val="false"/>
          <w:i w:val="false"/>
          <w:iCs w:val="false"/>
          <w:caps w:val="false"/>
          <w:smallCaps w:val="false"/>
          <w:color w:val="000000" w:themeColor="text1" w:themeShade="ff" w:themeTint="ff"/>
          <w:sz w:val="22"/>
          <w:szCs w:val="22"/>
          <w:lang w:val="el-GR"/>
        </w:rPr>
      </w:pPr>
      <w:r>
        <w:rPr/>
        <w:br/>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Miller, D. P., &amp; Nourbakhsh, I. (2016). Robotics for education.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Springer Handbook of Robotics</w:t>
      </w: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 2115–2134. </w:t>
      </w:r>
      <w:hyperlink r:id="rId5">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https://doi.org/10.1007/978-3-319-32552-1_79</w:t>
        </w:r>
      </w:hyperlink>
    </w:p>
    <w:p>
      <w:pPr>
        <w:pStyle w:val="Normal"/>
        <w:spacing w:lineRule="auto" w:line="240" w:before="0" w:after="160"/>
        <w:ind w:left="0"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59" w:before="0" w:after="160"/>
        <w:ind w:left="0"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Robotics in education: Constructing, coding, and competing. Robotics in Education: Constructing, Coding, and Competing | Education World. (n.d.). Retrieved May 26, 2022, from </w:t>
      </w:r>
      <w:hyperlink r:id="rId6">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https://www.educationworld.com/robotics-education-constructing-coding-and-competing</w:t>
        </w:r>
      </w:hyperlink>
    </w:p>
    <w:p>
      <w:pPr>
        <w:pStyle w:val="Normal"/>
        <w:spacing w:lineRule="auto" w:line="240" w:before="0" w:after="160"/>
        <w:ind w:left="0" w:hanging="0"/>
        <w:jc w:val="left"/>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ind w:left="0" w:hanging="0"/>
        <w:jc w:val="both"/>
        <w:rPr>
          <w:rFonts w:ascii="Calibri" w:hAnsi="Calibri" w:eastAsia="Calibri" w:cs="Calibri"/>
          <w:b w:val="false"/>
          <w:b w:val="false"/>
          <w:bCs w:val="false"/>
          <w:i w:val="false"/>
          <w:i w:val="false"/>
          <w:iCs w:val="false"/>
          <w:caps w:val="false"/>
          <w:smallCaps w:val="false"/>
          <w:color w:val="000000" w:themeColor="text1" w:themeShade="ff" w:themeTint="ff"/>
          <w:sz w:val="28"/>
          <w:szCs w:val="28"/>
          <w:lang w:val="el-GR"/>
        </w:rPr>
      </w:pPr>
      <w:r>
        <w:rPr>
          <w:rFonts w:eastAsia="Calibri" w:cs="Calibri"/>
          <w:b w:val="false"/>
          <w:bCs w:val="false"/>
          <w:i w:val="false"/>
          <w:iCs w:val="false"/>
          <w:caps w:val="false"/>
          <w:smallCaps w:val="false"/>
          <w:color w:val="000000" w:themeColor="text1" w:themeShade="ff" w:themeTint="ff"/>
          <w:sz w:val="28"/>
          <w:szCs w:val="28"/>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br/>
        <w:b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bCs/>
          <w:i w:val="false"/>
          <w:iCs w:val="false"/>
          <w:caps w:val="false"/>
          <w:smallCaps w:val="false"/>
          <w:strike w:val="false"/>
          <w:dstrike w:val="false"/>
          <w:color w:val="000000" w:themeColor="text1" w:themeShade="ff" w:themeTint="ff"/>
          <w:sz w:val="24"/>
          <w:szCs w:val="24"/>
          <w:u w:val="none"/>
          <w:lang w:val="el-GR"/>
        </w:rPr>
        <w:t>Ελληνική</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Αντωνίου Α. (2020).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 xml:space="preserve">Η χρήση της Ρομποτικής στην Πρωτοβάθμια Εκπαίδευση. </w:t>
      </w:r>
      <w:hyperlink r:id="rId7">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https://dspace.lib.uom.gr/bitstream/2159/24219/1/AntoniouAngelikiMsc2020.pdf</w:t>
        </w:r>
      </w:hyperlink>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t xml:space="preserve">Γκούρλης Ν. (2018).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Εκπαιδευτική Ρομποτική Στην Πρωτοβάθμια Εκπαίδευση. Σχεδιασμός – Υλοποίηση - Αξιολόγηση</w:t>
      </w:r>
      <w:r>
        <w:rPr>
          <w:rFonts w:eastAsia="Times New Roman" w:cs="Times New Roman" w:ascii="Times New Roman" w:hAnsi="Times New Roman"/>
          <w:b w:val="false"/>
          <w:bCs w:val="false"/>
          <w:i/>
          <w:iCs/>
          <w:caps w:val="false"/>
          <w:smallCaps w:val="false"/>
          <w:color w:val="000000" w:themeColor="text1" w:themeShade="ff" w:themeTint="ff"/>
          <w:sz w:val="28"/>
          <w:szCs w:val="28"/>
          <w:lang w:val="el-GR"/>
        </w:rPr>
        <w:t>.</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 xml:space="preserve"> </w:t>
      </w:r>
      <w:hyperlink r:id="rId8">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https://ir.lib.uth.gr/xmlui/bitstream/handle/11615/49738/18613.pdf?sequence=1</w:t>
        </w:r>
      </w:hyperlink>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Γρηγοριάδου Μ., Γόγουλου Α., Γουλή Ε. (2002).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Εναλλακτικές Διδακτικές Προσεγγίσεις σε Εισαγωγικά Μαθήματα Προγραμματισμού: Προτάσεις Διδασκαλίας Στο</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Δημητρακοπούλου Α. (Επιμ.).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Οι ΤΠΕ στην Εκπαίδευση, Τόμος Α΄, Πρακτικά 3ου Συνεδρίου ΕΤΠΕ, 26-29/9/2002.</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Πανεπιστήμιο Αιγαίου, Ρόδος: Εκδόσεις Καστανιώτη.</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Δίκτυο Ευρυδίκη (2004).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Αριθμοί Κλειδιά στις Τεχνολογίες των Πληροφοριών και της Επικοινωνίας στα σχολεία στην Ευρώπη</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Κόμης Β. (2001).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Πανεπιστημιακές Παραδόσεις, Πληροφορική στην Εκπαίδευση.</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Εκδόσεις Πανεπιστημίου Πατρών.</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Κόμης Β. (2004).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Εισαγωγή στις εκπαιδευτικές εφαρμογές των τεχνολογιών πληροφορίας και των επικοινωνιών.</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Εκδόσεις Νέων Τεχνολογιών.</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Κόμης Β. (2005).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Εισαγωγή στη Διδακτική της Πληροφορικής.</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Αθήνα: Κλειδάριθμος.</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Μουντρίδου Μ. (2020). </w:t>
      </w:r>
      <w:r>
        <w:rPr>
          <w:rFonts w:eastAsia="Times New Roman" w:cs="Times New Roman" w:ascii="Times New Roman" w:hAnsi="Times New Roman"/>
          <w:b w:val="false"/>
          <w:bCs w:val="false"/>
          <w:i/>
          <w:iCs/>
          <w:caps w:val="false"/>
          <w:smallCaps w:val="false"/>
          <w:color w:val="000000" w:themeColor="text1" w:themeShade="ff" w:themeTint="ff"/>
          <w:sz w:val="24"/>
          <w:szCs w:val="24"/>
          <w:lang w:val="el-GR"/>
        </w:rPr>
        <w:t xml:space="preserve">Η ρομποτική στην εκπαίδευση. </w:t>
      </w:r>
      <w:hyperlink r:id="rId9">
        <w:r>
          <w:rPr>
            <w:rStyle w:val="InternetLink"/>
            <w:rFonts w:eastAsia="Times New Roman" w:cs="Times New Roman" w:ascii="Times New Roman" w:hAnsi="Times New Roman"/>
            <w:b w:val="false"/>
            <w:bCs w:val="false"/>
            <w:i w:val="false"/>
            <w:iCs w:val="false"/>
            <w:caps w:val="false"/>
            <w:smallCaps w:val="false"/>
            <w:strike w:val="false"/>
            <w:dstrike w:val="false"/>
            <w:sz w:val="24"/>
            <w:szCs w:val="24"/>
            <w:lang w:val="el-GR"/>
          </w:rPr>
          <w:t>https://edutech-thesis.uniwa.gr/wp-content/uploads/sites/207/2021/01/%CE%97-%CF%81%CE%BF%CE%BC%CF%80%CE%BF%CF%84%CE%B9%CE%BA%CE%AE-%CF%83%CF%84%CE%B7%CE%BD-%CE%B5%CE%BA%CF%80%CE%B1%CE%AF%CE%B4%CE%B5%CF%85%CF%83%CE%B7.pdf</w:t>
        </w:r>
      </w:hyperlink>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Νικολός Δ., Μισιρλή Α., Δαβράζος Γ., Μπακόπουλος Ν., Κόμης Β. (2008).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Εξοικείωση με τη γλώσσα προγραμματισμού Scratch και το ρομποτικό πακέτο Lego WeDo</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 </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 xml:space="preserve">Πρακτικά του 2ου Πανελλήνιου </w:t>
      </w:r>
      <w:r>
        <w:rPr>
          <w:rFonts w:eastAsia="Times New Roman" w:cs="Times New Roman" w:ascii="Times New Roman" w:hAnsi="Times New Roman"/>
          <w:b w:val="false"/>
          <w:bCs w:val="false"/>
          <w:i/>
          <w:iCs/>
          <w:caps w:val="false"/>
          <w:smallCaps w:val="false"/>
          <w:strike w:val="false"/>
          <w:dstrike w:val="false"/>
          <w:color w:val="000000" w:themeColor="text1" w:themeShade="ff" w:themeTint="ff"/>
          <w:sz w:val="24"/>
          <w:szCs w:val="24"/>
          <w:u w:val="none"/>
          <w:lang w:val="el-GR"/>
        </w:rPr>
        <w:t xml:space="preserve">Συνεδρίου. Ένταξη και χρήση των ΤΠΕ στην Εκπαιδευτική Διαδικασία (Εργαστηριακή παρουσίαση). </w:t>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Πάτρα, 28-30 Απριλίου 2011.</w:t>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br/>
      </w:r>
      <w:r>
        <w:rPr>
          <w:rFonts w:eastAsia="Times New Roman" w:cs="Times New Roman" w:ascii="Times New Roman" w:hAnsi="Times New Roman"/>
          <w:b w:val="false"/>
          <w:bCs w:val="false"/>
          <w:i w:val="false"/>
          <w:iCs w:val="false"/>
          <w:caps w:val="false"/>
          <w:smallCaps w:val="false"/>
          <w:strike w:val="false"/>
          <w:dstrike w:val="false"/>
          <w:color w:val="000000" w:themeColor="text1" w:themeShade="ff" w:themeTint="ff"/>
          <w:sz w:val="24"/>
          <w:szCs w:val="24"/>
          <w:u w:val="none"/>
          <w:lang w:val="el-GR"/>
        </w:rPr>
        <w:t>Παιδαγωγικό Ινστιτούτο (1997). Ενιαίο Πλαίσιο Προγράμματος Σπουδών Πληροφορικής. Υπουργείο Εθνικής Παιδείας και Θρησκευμάτων.</w:t>
      </w:r>
      <w:r>
        <w:rPr/>
        <w:br/>
      </w:r>
    </w:p>
    <w:p>
      <w:pPr>
        <w:pStyle w:val="Normal"/>
        <w:spacing w:lineRule="auto" w:line="259" w:before="0" w:after="160"/>
        <w:rPr>
          <w:rFonts w:ascii="Calibri" w:hAnsi="Calibri" w:eastAsia="Calibri" w:cs="Calibri"/>
          <w:b w:val="false"/>
          <w:b w:val="false"/>
          <w:bCs w:val="false"/>
          <w:i w:val="false"/>
          <w:i w:val="false"/>
          <w:iCs w:val="false"/>
          <w:caps w:val="false"/>
          <w:smallCaps w:val="false"/>
          <w:color w:val="000000" w:themeColor="text1" w:themeShade="ff" w:themeTint="ff"/>
          <w:sz w:val="24"/>
          <w:szCs w:val="24"/>
          <w:lang w:val="el-GR"/>
        </w:rPr>
      </w:pPr>
      <w:r>
        <w:rPr/>
        <w:br/>
        <w:br/>
        <w:br/>
      </w:r>
    </w:p>
    <w:p>
      <w:pPr>
        <w:pStyle w:val="Normal"/>
        <w:spacing w:lineRule="auto" w:line="240" w:before="0" w:after="16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4"/>
          <w:szCs w:val="24"/>
          <w:lang w:val="el-GR"/>
        </w:rPr>
      </w:pPr>
      <w:r>
        <w:rPr>
          <w:rFonts w:eastAsia="Times New Roman" w:cs="Times New Roman" w:ascii="Times New Roman" w:hAnsi="Times New Roman"/>
          <w:b w:val="false"/>
          <w:bCs w:val="false"/>
          <w:i w:val="false"/>
          <w:iCs w:val="false"/>
          <w:caps w:val="false"/>
          <w:smallCaps w:val="false"/>
          <w:color w:val="000000" w:themeColor="text1" w:themeShade="ff" w:themeTint="ff"/>
          <w:sz w:val="24"/>
          <w:szCs w:val="24"/>
          <w:lang w:val="el-GR"/>
        </w:rPr>
      </w:r>
    </w:p>
    <w:p>
      <w:pPr>
        <w:pStyle w:val="Normal"/>
        <w:spacing w:lineRule="auto" w:line="240" w:before="0" w:after="160"/>
        <w:jc w:val="both"/>
        <w:rPr>
          <w:rFonts w:ascii="Calibri" w:hAnsi="Calibri" w:eastAsia="Calibri" w:cs="Calibri"/>
          <w:b w:val="false"/>
          <w:b w:val="false"/>
          <w:bCs w:val="false"/>
          <w:i w:val="false"/>
          <w:i w:val="false"/>
          <w:iCs w:val="false"/>
          <w:caps w:val="false"/>
          <w:smallCaps w:val="false"/>
          <w:color w:val="000000" w:themeColor="text1" w:themeShade="ff" w:themeTint="ff"/>
          <w:sz w:val="28"/>
          <w:szCs w:val="28"/>
          <w:lang w:val="el-GR"/>
        </w:rPr>
      </w:pPr>
      <w:r>
        <w:rPr>
          <w:rFonts w:eastAsia="Calibri" w:cs="Calibri"/>
          <w:b w:val="false"/>
          <w:bCs w:val="false"/>
          <w:i w:val="false"/>
          <w:iCs w:val="false"/>
          <w:caps w:val="false"/>
          <w:smallCaps w:val="false"/>
          <w:color w:val="000000" w:themeColor="text1" w:themeShade="ff" w:themeTint="ff"/>
          <w:sz w:val="28"/>
          <w:szCs w:val="28"/>
          <w:lang w:val="el-GR"/>
        </w:rPr>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1"/>
    <w:family w:val="roman"/>
    <w:pitch w:val="variable"/>
  </w:font>
  <w:font w:name="Calibri">
    <w:charset w:val="01"/>
    <w:family w:val="swiss"/>
    <w:pitch w:val="default"/>
  </w:font>
  <w:font w:name="Arial">
    <w:charset w:val="01"/>
    <w:family w:val="swiss"/>
    <w:pitch w:val="default"/>
  </w:font>
  <w:font w:name="Times New Roman">
    <w:charset w:val="01"/>
    <w:family w:val="swiss"/>
    <w:pitch w:val="default"/>
  </w:font>
  <w:font w:name="Segoe UI">
    <w:charset w:val="01"/>
    <w:family w:val="swiss"/>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Pr>
      <w:color w:val="0563C1" w:themeColor="hyperlink"/>
      <w:u w:val="single"/>
    </w:rPr>
  </w:style>
  <w:style w:type="paragraph" w:styleId="Heading">
    <w:name w:val="Heading"/>
    <w:basedOn w:val="Normal"/>
    <w:next w:val="TextBody"/>
    <w:qFormat/>
    <w:pPr>
      <w:keepNext w:val="true"/>
      <w:spacing w:before="240" w:after="120"/>
    </w:pPr>
    <w:rPr>
      <w:rFonts w:ascii="Arial" w:hAnsi="Arial" w:eastAsia="Microsoft YaHei" w:cs="Lucida Sans"/>
      <w:sz w:val="32"/>
      <w:szCs w:val="28"/>
    </w:rPr>
  </w:style>
  <w:style w:type="paragraph" w:styleId="TextBody">
    <w:name w:val="Body Text"/>
    <w:basedOn w:val="Normal"/>
    <w:pPr>
      <w:spacing w:lineRule="auto" w:line="276" w:before="0" w:after="140"/>
    </w:pPr>
    <w:rPr/>
  </w:style>
  <w:style w:type="paragraph" w:styleId="List">
    <w:name w:val="List"/>
    <w:basedOn w:val="TextBody"/>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Index">
    <w:name w:val="Index"/>
    <w:basedOn w:val="Normal"/>
    <w:qFormat/>
    <w:pPr>
      <w:suppressLineNumbers/>
    </w:pPr>
    <w:rPr>
      <w:rFonts w:ascii="Arial" w:hAnsi="Arial" w:cs="Lucida Sans"/>
      <w:lang w:val="zxx" w:eastAsia="zxx" w:bidi="zxx"/>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c.europa.eu/digital-agenda/sites/digital-agenda/files/KK-31-13-401-EN-N.pdf" TargetMode="External"/><Relationship Id="rId4" Type="http://schemas.openxmlformats.org/officeDocument/2006/relationships/hyperlink" Target="https://doi.org/10.1007/bf02480880" TargetMode="External"/><Relationship Id="rId5" Type="http://schemas.openxmlformats.org/officeDocument/2006/relationships/hyperlink" Target="https://doi.org/10.1007/978-3-319-32552-1_79" TargetMode="External"/><Relationship Id="rId6" Type="http://schemas.openxmlformats.org/officeDocument/2006/relationships/hyperlink" Target="https://www.educationworld.com/robotics-education-constructing-coding-and-competing" TargetMode="External"/><Relationship Id="rId7" Type="http://schemas.openxmlformats.org/officeDocument/2006/relationships/hyperlink" Target="https://dspace.lib.uom.gr/bitstream/2159/24219/1/AntoniouAngelikiMsc2020.pdf" TargetMode="External"/><Relationship Id="rId8" Type="http://schemas.openxmlformats.org/officeDocument/2006/relationships/hyperlink" Target="https://ir.lib.uth.gr/xmlui/bitstream/handle/11615/49738/18613.pdf?sequence=1" TargetMode="External"/><Relationship Id="rId9" Type="http://schemas.openxmlformats.org/officeDocument/2006/relationships/hyperlink" Target="https://edutech-thesis.uniwa.gr/wp-content/uploads/sites/207/2021/01/&#919;-&#961;&#959;&#956;&#960;&#959;&#964;&#953;&#954;&#942;-&#963;&#964;&#951;&#957;-&#949;&#954;&#960;&#945;&#943;&#948;&#949;&#965;&#963;&#951;.pdf" TargetMode="Externa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LibreOffice/7.3.3.2$Windows_X86_64 LibreOffice_project/d1d0ea68f081ee2800a922cac8f79445e4603348</Application>
  <AppVersion>15.0000</AppVersion>
  <Pages>9</Pages>
  <Words>3050</Words>
  <Characters>19161</Characters>
  <CharactersWithSpaces>22182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2022-05-26T08:19:59Z</dcterms:created>
  <dc:creator>Alexandra Nestoroudi</dc:creator>
  <dc:description/>
  <dc:language>el-GR</dc:language>
  <cp:lastModifiedBy>Alexandra Nestoroudi</cp:lastModifiedBy>
  <dcterms:modified xsi:type="dcterms:W3CDTF">2022-05-26T09:46:12Z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