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01B3A"/>
          <w:sz w:val="48"/>
        </w:rPr>
        <w:t>INFORMATION REQUIRED</w:t>
      </w:r>
    </w:p>
    <w:p>
      <w:pPr>
        <w:spacing w:after="280"/>
      </w:pPr>
      <w:r>
        <w:rPr>
          <w:color w:val="475569"/>
          <w:sz w:val="24"/>
        </w:rPr>
        <w:t>Easy Connect Solutions Malaysia website - team response document</w:t>
      </w:r>
    </w:p>
    <w:p>
      <w:pPr>
        <w:spacing w:after="240"/>
        <w:ind w:left="259" w:right="259"/>
        <w:shd w:fill="EAF7FC"/>
      </w:pPr>
      <w:r>
        <w:rPr>
          <w:b/>
        </w:rPr>
        <w:t xml:space="preserve">Purpose: </w:t>
      </w:r>
      <w:r>
        <w:t>Please provide or approve the items below so temporary wording can be replaced with final verified information. Items marked Priority 1 affect launch credibility or legal/compliance claims.</w:t>
      </w:r>
    </w:p>
    <w:p>
      <w:pPr>
        <w:pStyle w:val="Heading1"/>
      </w:pPr>
      <w:r>
        <w:t>Priority 1 - Required before final launch</w:t>
      </w:r>
    </w:p>
    <w:p>
      <w:pPr>
        <w:pStyle w:val="Heading2"/>
      </w:pPr>
      <w:r>
        <w:t>A. Company, retail and online-store details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1. </w:t>
      </w:r>
      <w:r>
        <w:rPr>
          <w:b/>
        </w:rPr>
        <w:t>Full legal company name and registration number</w:t>
      </w:r>
    </w:p>
    <w:p>
      <w:pPr>
        <w:spacing w:after="40"/>
        <w:ind w:left="518"/>
      </w:pPr>
      <w:r>
        <w:rPr>
          <w:color w:val="475569"/>
          <w:sz w:val="19"/>
        </w:rPr>
        <w:t>Needed for final legal-policy and commercial wording.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2. </w:t>
      </w:r>
      <w:r>
        <w:rPr>
          <w:b/>
        </w:rPr>
        <w:t>Complete retail address</w:t>
      </w:r>
    </w:p>
    <w:p>
      <w:pPr>
        <w:spacing w:after="40"/>
        <w:ind w:left="518"/>
      </w:pPr>
      <w:r>
        <w:rPr>
          <w:color w:val="475569"/>
          <w:sz w:val="19"/>
        </w:rPr>
        <w:t>Include unit/shop number, street, postcode, city and state.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3. </w:t>
      </w:r>
      <w:r>
        <w:rPr>
          <w:b/>
        </w:rPr>
        <w:t>Google Maps location</w:t>
      </w:r>
    </w:p>
    <w:p>
      <w:pPr>
        <w:spacing w:after="40"/>
        <w:ind w:left="518"/>
      </w:pPr>
      <w:r>
        <w:rPr>
          <w:color w:val="475569"/>
          <w:sz w:val="19"/>
        </w:rPr>
        <w:t>Provide the Google Maps share URL or approved map embed location.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4. </w:t>
      </w:r>
      <w:r>
        <w:rPr>
          <w:b/>
        </w:rPr>
        <w:t>Official TechRevelo store URL</w:t>
      </w:r>
    </w:p>
    <w:p>
      <w:pPr>
        <w:spacing w:after="40"/>
        <w:ind w:left="518"/>
      </w:pPr>
      <w:r>
        <w:rPr>
          <w:color w:val="475569"/>
          <w:sz w:val="19"/>
        </w:rPr>
        <w:t>Confirm whether the primary link should open Shopee, another marketplace or a standalone store.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5. </w:t>
      </w:r>
      <w:r>
        <w:rPr>
          <w:b/>
        </w:rPr>
        <w:t>Approved TechRevelo description</w:t>
      </w:r>
    </w:p>
    <w:p>
      <w:pPr>
        <w:spacing w:after="40"/>
        <w:ind w:left="518"/>
      </w:pPr>
      <w:r>
        <w:rPr>
          <w:color w:val="475569"/>
          <w:sz w:val="19"/>
        </w:rPr>
        <w:t>One or two sentences explaining its relationship with Easy Connect Solutions.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pStyle w:val="Heading2"/>
      </w:pPr>
      <w:r>
        <w:t>B. ITAD, data security and e-waste evidence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6. </w:t>
      </w:r>
      <w:r>
        <w:rPr>
          <w:b/>
        </w:rPr>
        <w:t>Who performs data wiping?</w:t>
      </w:r>
    </w:p>
    <w:p>
      <w:pPr>
        <w:spacing w:after="40"/>
        <w:ind w:left="518"/>
      </w:pPr>
      <w:r>
        <w:rPr>
          <w:color w:val="475569"/>
          <w:sz w:val="19"/>
        </w:rPr>
        <w:t>Confirm whether it is completed by Easy Connect directly or by a named service partner.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7. </w:t>
      </w:r>
      <w:r>
        <w:rPr>
          <w:b/>
        </w:rPr>
        <w:t>Approved data-sanitization standards</w:t>
      </w:r>
    </w:p>
    <w:p>
      <w:pPr>
        <w:spacing w:after="40"/>
        <w:ind w:left="518"/>
      </w:pPr>
      <w:r>
        <w:rPr>
          <w:color w:val="475569"/>
          <w:sz w:val="19"/>
        </w:rPr>
        <w:t>Confirm whether NIST SP 800-88, DoD 5220.22-M or another standard can be stated publicly. Attach supporting evidence.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8. </w:t>
      </w:r>
      <w:r>
        <w:rPr>
          <w:b/>
        </w:rPr>
        <w:t>Data-destruction documentation</w:t>
      </w:r>
    </w:p>
    <w:p>
      <w:pPr>
        <w:spacing w:after="40"/>
        <w:ind w:left="518"/>
      </w:pPr>
      <w:r>
        <w:rPr>
          <w:color w:val="475569"/>
          <w:sz w:val="19"/>
        </w:rPr>
        <w:t>Confirm whether certificates and chain-of-custody reports are issued per drive, per device or per project.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9. </w:t>
      </w:r>
      <w:r>
        <w:rPr>
          <w:b/>
        </w:rPr>
        <w:t>Approved PDPA wording</w:t>
      </w:r>
    </w:p>
    <w:p>
      <w:pPr>
        <w:spacing w:after="40"/>
        <w:ind w:left="518"/>
      </w:pPr>
      <w:r>
        <w:rPr>
          <w:color w:val="475569"/>
          <w:sz w:val="19"/>
        </w:rPr>
        <w:t>Confirm whether the website may say compliant, aligned, designed to support compliance, or another approved phrase.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10. </w:t>
      </w:r>
      <w:r>
        <w:rPr>
          <w:b/>
        </w:rPr>
        <w:t>E-waste recovery partner and licensing</w:t>
      </w:r>
    </w:p>
    <w:p>
      <w:pPr>
        <w:spacing w:after="40"/>
        <w:ind w:left="518"/>
      </w:pPr>
      <w:r>
        <w:rPr>
          <w:color w:val="475569"/>
          <w:sz w:val="19"/>
        </w:rPr>
        <w:t>Provide partner name, DOE/licensing evidence and approved public wording.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pStyle w:val="Heading2"/>
      </w:pPr>
      <w:r>
        <w:t>C. Warranty and commercial commitments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11. </w:t>
      </w:r>
      <w:r>
        <w:rPr>
          <w:b/>
        </w:rPr>
        <w:t>Warranty terms by product category</w:t>
      </w:r>
    </w:p>
    <w:p>
      <w:pPr>
        <w:spacing w:after="40"/>
        <w:ind w:left="518"/>
      </w:pPr>
      <w:r>
        <w:rPr>
          <w:color w:val="475569"/>
          <w:sz w:val="19"/>
        </w:rPr>
        <w:t>Confirm standard duration, optional extensions, exclusions, batteries and claim procedure.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12. </w:t>
      </w:r>
      <w:r>
        <w:rPr>
          <w:b/>
        </w:rPr>
        <w:t>Replacement or swap service</w:t>
      </w:r>
    </w:p>
    <w:p>
      <w:pPr>
        <w:spacing w:after="40"/>
        <w:ind w:left="518"/>
      </w:pPr>
      <w:r>
        <w:rPr>
          <w:color w:val="475569"/>
          <w:sz w:val="19"/>
        </w:rPr>
        <w:t>Confirm whether a corporate swap service exists, where it applies and the approved response time.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13. </w:t>
      </w:r>
      <w:r>
        <w:rPr>
          <w:b/>
        </w:rPr>
        <w:t>Quotation and delivery turnaround</w:t>
      </w:r>
    </w:p>
    <w:p>
      <w:pPr>
        <w:spacing w:after="40"/>
        <w:ind w:left="518"/>
      </w:pPr>
      <w:r>
        <w:rPr>
          <w:color w:val="475569"/>
          <w:sz w:val="19"/>
        </w:rPr>
        <w:t>Provide realistic public wording and any exclusions based on stock or location.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14. </w:t>
      </w:r>
      <w:r>
        <w:rPr>
          <w:b/>
        </w:rPr>
        <w:t>Minimum order quantities</w:t>
      </w:r>
    </w:p>
    <w:p>
      <w:pPr>
        <w:spacing w:after="40"/>
        <w:ind w:left="518"/>
      </w:pPr>
      <w:r>
        <w:rPr>
          <w:color w:val="475569"/>
          <w:sz w:val="19"/>
        </w:rPr>
        <w:t>Confirm thresholds for bulk procurement, education and corporate pricing.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15. </w:t>
      </w:r>
      <w:r>
        <w:rPr>
          <w:b/>
        </w:rPr>
        <w:t>Approved savings claims</w:t>
      </w:r>
    </w:p>
    <w:p>
      <w:pPr>
        <w:spacing w:after="40"/>
        <w:ind w:left="518"/>
      </w:pPr>
      <w:r>
        <w:rPr>
          <w:color w:val="475569"/>
          <w:sz w:val="19"/>
        </w:rPr>
        <w:t>Provide evidence and approved comparison wording for any 30%, 40% or other savings figure.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pStyle w:val="Heading1"/>
      </w:pPr>
      <w:r>
        <w:t>Priority 2 - Required to replace temporary content</w:t>
      </w:r>
    </w:p>
    <w:p>
      <w:pPr>
        <w:pStyle w:val="Heading2"/>
      </w:pPr>
      <w:r>
        <w:t>D. Reviews, customers and case studies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16. </w:t>
      </w:r>
      <w:r>
        <w:rPr>
          <w:b/>
        </w:rPr>
        <w:t>Approved customer testimonials</w:t>
      </w:r>
    </w:p>
    <w:p>
      <w:pPr>
        <w:spacing w:after="40"/>
        <w:ind w:left="518"/>
      </w:pPr>
      <w:r>
        <w:rPr>
          <w:color w:val="475569"/>
          <w:sz w:val="19"/>
        </w:rPr>
        <w:t>For each: quote, customer name, role, organization and written permission to publish.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17. </w:t>
      </w:r>
      <w:r>
        <w:rPr>
          <w:b/>
        </w:rPr>
        <w:t>Google review link and approved reviews</w:t>
      </w:r>
    </w:p>
    <w:p>
      <w:pPr>
        <w:spacing w:after="40"/>
        <w:ind w:left="518"/>
      </w:pPr>
      <w:r>
        <w:rPr>
          <w:color w:val="475569"/>
          <w:sz w:val="19"/>
        </w:rPr>
        <w:t>Provide the business profile URL and identify the exact reviews that may be reused.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18. </w:t>
      </w:r>
      <w:r>
        <w:rPr>
          <w:b/>
        </w:rPr>
        <w:t>Two or more completed case studies</w:t>
      </w:r>
    </w:p>
    <w:p>
      <w:pPr>
        <w:spacing w:after="40"/>
        <w:ind w:left="518"/>
      </w:pPr>
      <w:r>
        <w:rPr>
          <w:color w:val="475569"/>
          <w:sz w:val="19"/>
        </w:rPr>
        <w:t>For each: customer type, problem, project scope, quantity, delivery approach and measurable outcome.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19. </w:t>
      </w:r>
      <w:r>
        <w:rPr>
          <w:b/>
        </w:rPr>
        <w:t>Customer or partner logos</w:t>
      </w:r>
    </w:p>
    <w:p>
      <w:pPr>
        <w:spacing w:after="40"/>
        <w:ind w:left="518"/>
      </w:pPr>
      <w:r>
        <w:rPr>
          <w:color w:val="475569"/>
          <w:sz w:val="19"/>
        </w:rPr>
        <w:t>Provide high-resolution files and confirmation that Easy Connect has permission to display them.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pStyle w:val="Heading2"/>
      </w:pPr>
      <w:r>
        <w:t>E. Product and inventory confirmation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20. </w:t>
      </w:r>
      <w:r>
        <w:rPr>
          <w:b/>
        </w:rPr>
        <w:t>Approved grading definitions</w:t>
      </w:r>
    </w:p>
    <w:p>
      <w:pPr>
        <w:spacing w:after="40"/>
        <w:ind w:left="518"/>
      </w:pPr>
      <w:r>
        <w:rPr>
          <w:color w:val="475569"/>
          <w:sz w:val="19"/>
        </w:rPr>
        <w:t>Confirm Grade A and any other grades, including cosmetic, display and battery expectations.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21. </w:t>
      </w:r>
      <w:r>
        <w:rPr>
          <w:b/>
        </w:rPr>
        <w:t>Apple editing range</w:t>
      </w:r>
    </w:p>
    <w:p>
      <w:pPr>
        <w:spacing w:after="40"/>
        <w:ind w:left="518"/>
      </w:pPr>
      <w:r>
        <w:rPr>
          <w:color w:val="475569"/>
          <w:sz w:val="19"/>
        </w:rPr>
        <w:t>Confirm supported MacBook Pro generations, iMac models and typical RAM/storage configurations.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22. </w:t>
      </w:r>
      <w:r>
        <w:rPr>
          <w:b/>
        </w:rPr>
        <w:t>Gaming range</w:t>
      </w:r>
    </w:p>
    <w:p>
      <w:pPr>
        <w:spacing w:after="40"/>
        <w:ind w:left="518"/>
      </w:pPr>
      <w:r>
        <w:rPr>
          <w:color w:val="475569"/>
          <w:sz w:val="19"/>
        </w:rPr>
        <w:t>Confirm supported brands, current GPU generations and whether RTX 30/40-series wording is appropriate.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23. </w:t>
      </w:r>
      <w:r>
        <w:rPr>
          <w:b/>
        </w:rPr>
        <w:t>Permanent product brands and models</w:t>
      </w:r>
    </w:p>
    <w:p>
      <w:pPr>
        <w:spacing w:after="40"/>
        <w:ind w:left="518"/>
      </w:pPr>
      <w:r>
        <w:rPr>
          <w:color w:val="475569"/>
          <w:sz w:val="19"/>
        </w:rPr>
        <w:t>Confirm whether Acer, Toshiba, Chromebooks and named workstation models should remain in evergreen copy.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pStyle w:val="Heading1"/>
      </w:pPr>
      <w:r>
        <w:t>Priority 3 - Marketing and future development</w:t>
      </w:r>
    </w:p>
    <w:p>
      <w:pPr>
        <w:pStyle w:val="Heading2"/>
      </w:pPr>
      <w:r>
        <w:t>F. Marketing operations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24. </w:t>
      </w:r>
      <w:r>
        <w:rPr>
          <w:b/>
        </w:rPr>
        <w:t>LinkedIn company-page URL</w:t>
      </w:r>
    </w:p>
    <w:p>
      <w:pPr>
        <w:spacing w:after="40"/>
        <w:ind w:left="518"/>
      </w:pPr>
      <w:r>
        <w:rPr>
          <w:color w:val="475569"/>
          <w:sz w:val="19"/>
        </w:rPr>
        <w:t>The current website uses the generic LinkedIn homepage until a company URL is supplied.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25. </w:t>
      </w:r>
      <w:r>
        <w:rPr>
          <w:b/>
        </w:rPr>
        <w:t>WhatsApp chatbot decision</w:t>
      </w:r>
    </w:p>
    <w:p>
      <w:pPr>
        <w:spacing w:after="40"/>
        <w:ind w:left="518"/>
      </w:pPr>
      <w:r>
        <w:rPr>
          <w:color w:val="475569"/>
          <w:sz w:val="19"/>
        </w:rPr>
        <w:t>Confirm direct WhatsApp only, or provide the preferred chatbot platform and required conversation flow.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26. </w:t>
      </w:r>
      <w:r>
        <w:rPr>
          <w:b/>
        </w:rPr>
        <w:t>Blog CMS decision</w:t>
      </w:r>
    </w:p>
    <w:p>
      <w:pPr>
        <w:spacing w:after="40"/>
        <w:ind w:left="518"/>
      </w:pPr>
      <w:r>
        <w:rPr>
          <w:color w:val="475569"/>
          <w:sz w:val="19"/>
        </w:rPr>
        <w:t>Confirm preferred CMS and approval workflow when dynamic articles are introduced later.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spacing w:after="40"/>
        <w:ind w:left="518" w:hanging="518"/>
      </w:pPr>
      <w:r>
        <w:rPr>
          <w:b/>
          <w:color w:val="29ABE2"/>
        </w:rPr>
        <w:t xml:space="preserve">27. </w:t>
      </w:r>
      <w:r>
        <w:rPr>
          <w:b/>
        </w:rPr>
        <w:t>Full translation scope</w:t>
      </w:r>
    </w:p>
    <w:p>
      <w:pPr>
        <w:spacing w:after="40"/>
        <w:ind w:left="518"/>
      </w:pPr>
      <w:r>
        <w:rPr>
          <w:color w:val="475569"/>
          <w:sz w:val="19"/>
        </w:rPr>
        <w:t>Confirm whether long-form Product, Solution, Resource and Legal pages require full Malay and Chinese translations.</w:t>
      </w:r>
    </w:p>
    <w:p>
      <w:pPr>
        <w:spacing w:after="160"/>
        <w:ind w:left="518"/>
      </w:pPr>
      <w:r>
        <w:rPr>
          <w:color w:val="475569"/>
          <w:sz w:val="18"/>
        </w:rPr>
        <w:t>Response / link / attachment: _________________________________________________</w:t>
      </w:r>
    </w:p>
    <w:p>
      <w:pPr>
        <w:pStyle w:val="Heading1"/>
      </w:pPr>
      <w:r>
        <w:t>Already confirmed</w:t>
      </w:r>
    </w:p>
    <w:p>
      <w:pPr>
        <w:pStyle w:val="ListBullet"/>
        <w:spacing w:after="100"/>
        <w:ind w:left="720" w:hanging="360"/>
      </w:pPr>
      <w:r>
        <w:t>Website domain: easyconnect.my</w:t>
      </w:r>
    </w:p>
    <w:p>
      <w:pPr>
        <w:pStyle w:val="ListBullet"/>
        <w:spacing w:after="100"/>
        <w:ind w:left="720" w:hanging="360"/>
      </w:pPr>
      <w:r>
        <w:t>Contact email: info@easyconnect.my</w:t>
      </w:r>
    </w:p>
    <w:p>
      <w:pPr>
        <w:pStyle w:val="ListBullet"/>
        <w:spacing w:after="100"/>
        <w:ind w:left="720" w:hanging="360"/>
      </w:pPr>
      <w:r>
        <w:t>Phone and WhatsApp: +6011 2090 6561</w:t>
      </w:r>
    </w:p>
    <w:p>
      <w:pPr>
        <w:pStyle w:val="ListBullet"/>
        <w:spacing w:after="100"/>
        <w:ind w:left="720" w:hanging="360"/>
      </w:pPr>
      <w:r>
        <w:t>Base location: Shah Alam, Selangor, Malaysia</w:t>
      </w:r>
    </w:p>
    <w:p>
      <w:pPr>
        <w:pStyle w:val="ListBullet"/>
        <w:spacing w:after="100"/>
        <w:ind w:left="720" w:hanging="360"/>
      </w:pPr>
      <w:r>
        <w:t>Facebook and Instagram links supplied</w:t>
      </w:r>
    </w:p>
    <w:p>
      <w:pPr>
        <w:pStyle w:val="ListBullet"/>
        <w:spacing w:after="100"/>
        <w:ind w:left="720" w:hanging="360"/>
      </w:pPr>
      <w:r>
        <w:t>Remarketing page removed</w:t>
      </w:r>
    </w:p>
    <w:p>
      <w:pPr>
        <w:pStyle w:val="ListBullet"/>
        <w:spacing w:after="100"/>
        <w:ind w:left="720" w:hanging="360"/>
      </w:pPr>
      <w:r>
        <w:t>Blog CMS will be considered later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Team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6"/>
      </w:rPr>
      <w:t>EASY CONNECT SOLUTIONS  |  WEBSITE INFORMATION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1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1B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