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Calibri" w:cs="Calibri" w:eastAsia="Calibri" w:hAnsi="Calibri"/>
          <w:b/>
          <w:bCs/>
          <w:color w:val="4A90D9"/>
          <w:sz w:val="28"/>
          <w:szCs w:val="28"/>
        </w:rPr>
        <w:t xml:space="preserve">SOFTWARE CONSTRUCTION &amp; DEVELOPMENT</w:t>
      </w:r>
    </w:p>
    <w:p>
      <w:pPr>
        <w:spacing w:after="280" w:before="0"/>
        <w:jc w:val="center"/>
      </w:pPr>
      <w:r>
        <w:rPr>
          <w:rFonts w:ascii="Calibri" w:cs="Calibri" w:eastAsia="Calibri" w:hAnsi="Calibri"/>
          <w:i/>
          <w:iCs/>
          <w:color w:val="374151"/>
          <w:sz w:val="24"/>
          <w:szCs w:val="24"/>
        </w:rPr>
        <w:t xml:space="preserve">Semester Project — Phase 1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1"/>
              <w:left w:val="single" w:color="2E5FAC" w:sz="1"/>
              <w:bottom w:val="single" w:color="2E5FAC" w:sz="1"/>
              <w:right w:val="single" w:color="2E5FAC" w:sz="1"/>
            </w:tcBorders>
            <w:shd w:fill="1B3A6B" w:val="clear"/>
            <w:tcMar>
              <w:top w:type="dxa" w:w="400"/>
              <w:left w:type="dxa" w:w="400"/>
              <w:bottom w:type="dxa" w:w="400"/>
              <w:right w:type="dxa" w:w="400"/>
            </w:tcMar>
          </w:tcPr>
          <w:p>
            <w:pPr>
              <w:jc w:val="center"/>
            </w:pPr>
            <w:r>
              <w:rPr>
                <w:rFonts w:ascii="Calibri" w:cs="Calibri" w:eastAsia="Calibri" w:hAnsi="Calibri"/>
                <w:b/>
                <w:bCs/>
                <w:color w:val="FFFFFF"/>
                <w:sz w:val="64"/>
                <w:szCs w:val="64"/>
              </w:rPr>
              <w:t xml:space="preserve">EXPENSE SPLITTER</w:t>
            </w:r>
          </w:p>
          <w:p>
            <w:pPr>
              <w:spacing w:before="120"/>
              <w:jc w:val="center"/>
            </w:pPr>
            <w:r>
              <w:rPr>
                <w:rFonts w:ascii="Calibri" w:cs="Calibri" w:eastAsia="Calibri" w:hAnsi="Calibri"/>
                <w:b/>
                <w:bCs/>
                <w:color w:val="4A90D9"/>
                <w:sz w:val="48"/>
                <w:szCs w:val="48"/>
              </w:rPr>
              <w:t xml:space="preserve">APPLICATION</w:t>
            </w:r>
          </w:p>
          <w:p>
            <w:pPr>
              <w:spacing w:before="180"/>
              <w:jc w:val="center"/>
            </w:pPr>
            <w:r>
              <w:rPr>
                <w:rFonts w:ascii="Calibri" w:cs="Calibri" w:eastAsia="Calibri" w:hAnsi="Calibri"/>
                <w:i/>
                <w:iCs/>
                <w:color w:val="F4F6FA"/>
                <w:sz w:val="22"/>
                <w:szCs w:val="22"/>
              </w:rPr>
              <w:t xml:space="preserve">A Java-Based Desktop Expense Management System</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Student Name</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[Insert Your Name Here]</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Roll Number</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[Insert Your Roll Number Here]</w:t>
            </w:r>
          </w:p>
        </w:tc>
      </w:tr>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Course</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Software Construction &amp; Development</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Submission Phase</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Phase 1 — Project Proposal</w:t>
            </w:r>
          </w:p>
        </w:tc>
      </w:tr>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Total Marks</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20 Marks</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Submission Date</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[Insert Date Here]</w:t>
            </w:r>
          </w:p>
        </w:tc>
      </w:tr>
    </w:tbl>
    <w:p>
      <w:pPr>
        <w:spacing w:after="0" w:before="200"/>
      </w:pPr>
      <w:r>
        <w:t xml:space="preserve"/>
      </w:r>
    </w:p>
    <w:p>
      <w:pPr>
        <w:jc w:val="center"/>
      </w:pPr>
      <w:r>
        <w:rPr>
          <w:rFonts w:ascii="Calibri" w:cs="Calibri" w:eastAsia="Calibri" w:hAnsi="Calibri"/>
          <w:i/>
          <w:iCs/>
          <w:color w:val="374151"/>
          <w:sz w:val="21"/>
          <w:szCs w:val="21"/>
        </w:rPr>
        <w:t xml:space="preserve">Submitted to: [Instructor Name]</w:t>
      </w:r>
    </w:p>
    <w:p>
      <w:r>
        <w:br w:type="page"/>
      </w:r>
    </w:p>
    <w:p>
      <w:pPr>
        <w:pBdr>
          <w:bottom w:val="single" w:color="2E5FAC" w:sz="4" w:space="4"/>
        </w:pBdr>
        <w:spacing w:after="120" w:before="320"/>
      </w:pPr>
      <w:r>
        <w:rPr>
          <w:rFonts w:ascii="Calibri" w:cs="Calibri" w:eastAsia="Calibri" w:hAnsi="Calibri"/>
          <w:b/>
          <w:bCs/>
          <w:color w:val="1B3A6B"/>
          <w:sz w:val="28"/>
          <w:szCs w:val="28"/>
        </w:rPr>
        <w:t xml:space="preserve">1.  Project Title</w:t>
      </w:r>
    </w:p>
    <w:p>
      <w:pPr>
        <w:spacing w:after="80" w:before="100"/>
      </w:pPr>
      <w:r>
        <w:rPr>
          <w:rFonts w:ascii="Calibri" w:cs="Calibri" w:eastAsia="Calibri" w:hAnsi="Calibri"/>
          <w:b/>
          <w:bCs/>
          <w:color w:val="2E5FAC"/>
          <w:sz w:val="26"/>
          <w:szCs w:val="26"/>
        </w:rPr>
        <w:t xml:space="preserve">Expense Splitter Application</w:t>
      </w:r>
    </w:p>
    <w:p>
      <w:pPr>
        <w:spacing w:after="60" w:before="60"/>
      </w:pPr>
      <w:r>
        <w:rPr>
          <w:rFonts w:ascii="Calibri" w:cs="Calibri" w:eastAsia="Calibri" w:hAnsi="Calibri"/>
          <w:b w:val="false"/>
          <w:bCs w:val="false"/>
          <w:color w:val="374151"/>
          <w:sz w:val="22"/>
          <w:szCs w:val="22"/>
        </w:rPr>
        <w:t xml:space="preserve">A comprehensive Java-based desktop utility engineered to eliminate the friction of shared financial management — enabling peer groups to log, split, and settle shared costs with precision and transparency.</w:t>
      </w:r>
    </w:p>
    <w:p>
      <w:pPr>
        <w:spacing w:after="0" w:before="80"/>
      </w:pPr>
      <w:r>
        <w:t xml:space="preserve"/>
      </w:r>
    </w:p>
    <w:p>
      <w:pPr>
        <w:pBdr>
          <w:bottom w:val="single" w:color="2E5FAC" w:sz="4" w:space="4"/>
        </w:pBdr>
        <w:spacing w:after="120" w:before="320"/>
      </w:pPr>
      <w:r>
        <w:rPr>
          <w:rFonts w:ascii="Calibri" w:cs="Calibri" w:eastAsia="Calibri" w:hAnsi="Calibri"/>
          <w:b/>
          <w:bCs/>
          <w:color w:val="1B3A6B"/>
          <w:sz w:val="28"/>
          <w:szCs w:val="28"/>
        </w:rPr>
        <w:t xml:space="preserve">2.  Student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Student Name</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[Insert Your Name Here]</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Roll Number</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[Insert Your Roll Number Here]</w:t>
            </w:r>
          </w:p>
        </w:tc>
      </w:tr>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Department</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Computer Science</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Semester</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[Current Semester]</w:t>
            </w:r>
          </w:p>
        </w:tc>
      </w:tr>
    </w:tbl>
    <w:p>
      <w:pPr>
        <w:spacing w:after="0" w:before="80"/>
      </w:pPr>
      <w:r>
        <w:t xml:space="preserve"/>
      </w:r>
    </w:p>
    <w:p>
      <w:pPr>
        <w:pBdr>
          <w:bottom w:val="single" w:color="2E5FAC" w:sz="4" w:space="4"/>
        </w:pBdr>
        <w:spacing w:after="120" w:before="320"/>
      </w:pPr>
      <w:r>
        <w:rPr>
          <w:rFonts w:ascii="Calibri" w:cs="Calibri" w:eastAsia="Calibri" w:hAnsi="Calibri"/>
          <w:b/>
          <w:bCs/>
          <w:color w:val="1B3A6B"/>
          <w:sz w:val="28"/>
          <w:szCs w:val="28"/>
        </w:rPr>
        <w:t xml:space="preserve">3.  Problem Statement</w:t>
      </w:r>
    </w:p>
    <w:p>
      <w:pPr>
        <w:spacing w:after="60" w:before="60"/>
      </w:pPr>
      <w:r>
        <w:rPr>
          <w:rFonts w:ascii="Calibri" w:cs="Calibri" w:eastAsia="Calibri" w:hAnsi="Calibri"/>
          <w:b w:val="false"/>
          <w:bCs w:val="false"/>
          <w:color w:val="374151"/>
          <w:sz w:val="22"/>
          <w:szCs w:val="22"/>
        </w:rPr>
        <w:t xml:space="preserve">Manually tracking and reconciling shared expenses among roommates, colleagues, or travel groups is a fundamentally flawed, error-prone process. The absence of a structured system creates three critical failure points:</w:t>
      </w:r>
    </w:p>
    <w:p>
      <w:pPr>
        <w:spacing w:after="0" w:before="60"/>
      </w:pPr>
      <w:r>
        <w:t xml:space="preserve"/>
      </w:r>
    </w:p>
    <w:p>
      <w:pPr>
        <w:pStyle w:val="ListParagraph"/>
        <w:numPr>
          <w:ilvl w:val="0"/>
          <w:numId w:val="2"/>
        </w:numPr>
        <w:spacing w:after="50" w:before="50"/>
      </w:pPr>
      <w:r>
        <w:rPr>
          <w:rFonts w:ascii="Calibri" w:cs="Calibri" w:eastAsia="Calibri" w:hAnsi="Calibri"/>
          <w:color w:val="374151"/>
          <w:sz w:val="21"/>
          <w:szCs w:val="21"/>
        </w:rPr>
        <w:t xml:space="preserve">Financial Inaccuracy — Manual arithmetic across multiple participants produces consistent calculation errors, leading to unfair cost distribution.</w:t>
      </w:r>
    </w:p>
    <w:p>
      <w:pPr>
        <w:pStyle w:val="ListParagraph"/>
        <w:numPr>
          <w:ilvl w:val="0"/>
          <w:numId w:val="2"/>
        </w:numPr>
        <w:spacing w:after="50" w:before="50"/>
      </w:pPr>
      <w:r>
        <w:rPr>
          <w:rFonts w:ascii="Calibri" w:cs="Calibri" w:eastAsia="Calibri" w:hAnsi="Calibri"/>
          <w:color w:val="374151"/>
          <w:sz w:val="21"/>
          <w:szCs w:val="21"/>
        </w:rPr>
        <w:t xml:space="preserve">Record Loss — Paper receipts and informal notes are easily misplaced, creating disputes with no verifiable audit trail.</w:t>
      </w:r>
    </w:p>
    <w:p>
      <w:pPr>
        <w:pStyle w:val="ListParagraph"/>
        <w:numPr>
          <w:ilvl w:val="0"/>
          <w:numId w:val="2"/>
        </w:numPr>
        <w:spacing w:after="50" w:before="50"/>
      </w:pPr>
      <w:r>
        <w:rPr>
          <w:rFonts w:ascii="Calibri" w:cs="Calibri" w:eastAsia="Calibri" w:hAnsi="Calibri"/>
          <w:color w:val="374151"/>
          <w:sz w:val="21"/>
          <w:szCs w:val="21"/>
        </w:rPr>
        <w:t xml:space="preserve">Interpersonal Friction — Ambiguous balances, forgotten debts, and lack of transparency damage personal and professional relationships.</w:t>
      </w:r>
    </w:p>
    <w:p>
      <w:pPr>
        <w:spacing w:after="0" w:before="80"/>
      </w:pPr>
      <w:r>
        <w:t xml:space="preserve"/>
      </w:r>
    </w:p>
    <w:p>
      <w:pPr>
        <w:spacing w:after="60" w:before="60"/>
      </w:pPr>
      <w:r>
        <w:rPr>
          <w:rFonts w:ascii="Calibri" w:cs="Calibri" w:eastAsia="Calibri" w:hAnsi="Calibri"/>
          <w:b w:val="false"/>
          <w:bCs w:val="false"/>
          <w:color w:val="374151"/>
          <w:sz w:val="22"/>
          <w:szCs w:val="22"/>
        </w:rPr>
        <w:t xml:space="preserve">The Expense Splitter Application directly resolves these deficiencies by providing:</w:t>
      </w:r>
    </w:p>
    <w:p>
      <w:pPr>
        <w:spacing w:after="0" w:before="40"/>
      </w:pPr>
      <w:r>
        <w:t xml:space="preserve"/>
      </w:r>
    </w:p>
    <w:p>
      <w:pPr>
        <w:pStyle w:val="ListParagraph"/>
        <w:numPr>
          <w:ilvl w:val="0"/>
          <w:numId w:val="3"/>
        </w:numPr>
        <w:spacing w:after="40" w:before="40"/>
      </w:pPr>
      <w:r>
        <w:rPr>
          <w:rFonts w:ascii="Calibri" w:cs="Calibri" w:eastAsia="Calibri" w:hAnsi="Calibri"/>
          <w:color w:val="374151"/>
          <w:sz w:val="20"/>
          <w:szCs w:val="20"/>
        </w:rPr>
        <w:t xml:space="preserve">A centralized, persistent digital ledger for all shared financial transactions.</w:t>
      </w:r>
    </w:p>
    <w:p>
      <w:pPr>
        <w:pStyle w:val="ListParagraph"/>
        <w:numPr>
          <w:ilvl w:val="0"/>
          <w:numId w:val="3"/>
        </w:numPr>
        <w:spacing w:after="40" w:before="40"/>
      </w:pPr>
      <w:r>
        <w:rPr>
          <w:rFonts w:ascii="Calibri" w:cs="Calibri" w:eastAsia="Calibri" w:hAnsi="Calibri"/>
          <w:color w:val="374151"/>
          <w:sz w:val="20"/>
          <w:szCs w:val="20"/>
        </w:rPr>
        <w:t xml:space="preserve">Automated, algorithm-driven debt calculation and balance simplification.</w:t>
      </w:r>
    </w:p>
    <w:p>
      <w:pPr>
        <w:pStyle w:val="ListParagraph"/>
        <w:numPr>
          <w:ilvl w:val="0"/>
          <w:numId w:val="3"/>
        </w:numPr>
        <w:spacing w:after="40" w:before="40"/>
      </w:pPr>
      <w:r>
        <w:rPr>
          <w:rFonts w:ascii="Calibri" w:cs="Calibri" w:eastAsia="Calibri" w:hAnsi="Calibri"/>
          <w:color w:val="374151"/>
          <w:sz w:val="20"/>
          <w:szCs w:val="20"/>
        </w:rPr>
        <w:t xml:space="preserve">A fully transparent, auditable history of all expense records per group.</w:t>
      </w:r>
    </w:p>
    <w:p>
      <w:pPr>
        <w:pStyle w:val="ListParagraph"/>
        <w:numPr>
          <w:ilvl w:val="0"/>
          <w:numId w:val="3"/>
        </w:numPr>
        <w:spacing w:after="40" w:before="40"/>
      </w:pPr>
      <w:r>
        <w:rPr>
          <w:rFonts w:ascii="Calibri" w:cs="Calibri" w:eastAsia="Calibri" w:hAnsi="Calibri"/>
          <w:color w:val="374151"/>
          <w:sz w:val="20"/>
          <w:szCs w:val="20"/>
        </w:rPr>
        <w:t xml:space="preserve">Real-time settlement tracking with single-click debt resolution workflows.</w:t>
      </w:r>
    </w:p>
    <w:p>
      <w:pPr>
        <w:spacing w:after="0" w:before="80"/>
      </w:pPr>
      <w:r>
        <w:t xml:space="preserve"/>
      </w:r>
    </w:p>
    <w:p>
      <w:pPr>
        <w:pBdr>
          <w:bottom w:val="single" w:color="2E5FAC" w:sz="4" w:space="4"/>
        </w:pBdr>
        <w:spacing w:after="120" w:before="320"/>
      </w:pPr>
      <w:r>
        <w:rPr>
          <w:rFonts w:ascii="Calibri" w:cs="Calibri" w:eastAsia="Calibri" w:hAnsi="Calibri"/>
          <w:b/>
          <w:bCs/>
          <w:color w:val="1B3A6B"/>
          <w:sz w:val="28"/>
          <w:szCs w:val="28"/>
        </w:rPr>
        <w:t xml:space="preserve">4.  Project Description</w:t>
      </w:r>
    </w:p>
    <w:p>
      <w:pPr>
        <w:spacing w:after="60" w:before="60"/>
      </w:pPr>
      <w:r>
        <w:rPr>
          <w:rFonts w:ascii="Calibri" w:cs="Calibri" w:eastAsia="Calibri" w:hAnsi="Calibri"/>
          <w:b w:val="false"/>
          <w:bCs w:val="false"/>
          <w:color w:val="374151"/>
          <w:sz w:val="22"/>
          <w:szCs w:val="22"/>
        </w:rPr>
        <w:t xml:space="preserve">The Expense Splitter is a full-featured desktop application built on the Java technology stack. It enables individuals to register accounts, form peer groups, log shared expenditures, and automatically compute who owes exactly how much to whom — eliminating any need for manual calculation.</w:t>
      </w:r>
    </w:p>
    <w:p>
      <w:pPr>
        <w:spacing w:after="0" w:before="80"/>
      </w:pPr>
      <w:r>
        <w:t xml:space="preserve"/>
      </w:r>
    </w:p>
    <w:p>
      <w:pPr>
        <w:spacing w:after="80" w:before="200"/>
      </w:pPr>
      <w:r>
        <w:rPr>
          <w:rFonts w:ascii="Calibri" w:cs="Calibri" w:eastAsia="Calibri" w:hAnsi="Calibri"/>
          <w:b/>
          <w:bCs/>
          <w:color w:val="2E5FAC"/>
          <w:sz w:val="22"/>
          <w:szCs w:val="22"/>
        </w:rPr>
        <w:t xml:space="preserve">System Architecture — Primary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Module</w:t>
            </w:r>
          </w:p>
        </w:tc>
        <w:tc>
          <w:tcPr>
            <w:tcW w:type="dxa" w:w="656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Responsibility</w:t>
            </w:r>
          </w:p>
        </w:tc>
      </w:tr>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Authentication Gateway</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User registration, login validation, session lifecycle management.</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Group Management Controller</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Creation and administration of peer groups and member rosters.</w:t>
            </w:r>
          </w:p>
        </w:tc>
      </w:tr>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Expense Ledger &amp; CRUD Engine</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Full Create, Read, Update, Delete operations on all financial records.</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Settlement &amp; Balance Engine</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Automated debt simplification, balance calculation, and payment confirmation.</w:t>
            </w:r>
          </w:p>
        </w:tc>
      </w:tr>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Search &amp; Analytics Dashboard</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Filtering, searching, and summarizing expense data across all dimensions.</w:t>
            </w:r>
          </w:p>
        </w:tc>
      </w:tr>
    </w:tbl>
    <w:p>
      <w:pPr>
        <w:spacing w:after="0" w:before="80"/>
      </w:pPr>
      <w:r>
        <w:t xml:space="preserve"/>
      </w:r>
    </w:p>
    <w:p>
      <w:pPr>
        <w:pBdr>
          <w:bottom w:val="single" w:color="2E5FAC" w:sz="4" w:space="4"/>
        </w:pBdr>
        <w:spacing w:after="120" w:before="320"/>
      </w:pPr>
      <w:r>
        <w:rPr>
          <w:rFonts w:ascii="Calibri" w:cs="Calibri" w:eastAsia="Calibri" w:hAnsi="Calibri"/>
          <w:b/>
          <w:bCs/>
          <w:color w:val="1B3A6B"/>
          <w:sz w:val="28"/>
          <w:szCs w:val="28"/>
        </w:rPr>
        <w:t xml:space="preserve">5.  Proposed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Technology Layer</w:t>
            </w:r>
          </w:p>
        </w:tc>
        <w:tc>
          <w:tcPr>
            <w:tcW w:type="dxa" w:w="656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Tool / Framework</w:t>
            </w:r>
          </w:p>
        </w:tc>
      </w:tr>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Frontend GUI</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JavaFX (primary) or Java Swing — interactive graphical interface.</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Backend Core Logic</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Core Java with full Object-Oriented Programming paradigms.</w:t>
            </w:r>
          </w:p>
        </w:tc>
      </w:tr>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Database</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MySQL Relational Database Management System.</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Database Connectivity</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JDBC (Java Database Connectivity) API.</w:t>
            </w:r>
          </w:p>
        </w:tc>
      </w:tr>
      <w:tr>
        <w:tc>
          <w:tcPr>
            <w:tcW w:type="dxa" w:w="2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IDE</w:t>
            </w:r>
          </w:p>
        </w:tc>
        <w:tc>
          <w:tcPr>
            <w:tcW w:type="dxa" w:w="65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IntelliJ IDEA or Eclipse.</w:t>
            </w:r>
          </w:p>
        </w:tc>
      </w:tr>
      <w:tr>
        <w:tc>
          <w:tcPr>
            <w:tcW w:type="dxa" w:w="2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External Library</w:t>
            </w:r>
          </w:p>
        </w:tc>
        <w:tc>
          <w:tcPr>
            <w:tcW w:type="dxa" w:w="65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MySQL Connector/J driver for JDBC routing.</w:t>
            </w:r>
          </w:p>
        </w:tc>
      </w:tr>
    </w:tbl>
    <w:p>
      <w:pPr>
        <w:spacing w:after="0" w:before="80"/>
      </w:pPr>
      <w:r>
        <w:t xml:space="preserve"/>
      </w:r>
    </w:p>
    <w:p>
      <w:pPr>
        <w:pBdr>
          <w:bottom w:val="single" w:color="2E5FAC" w:sz="4" w:space="4"/>
        </w:pBdr>
        <w:spacing w:after="120" w:before="320"/>
      </w:pPr>
      <w:r>
        <w:rPr>
          <w:rFonts w:ascii="Calibri" w:cs="Calibri" w:eastAsia="Calibri" w:hAnsi="Calibri"/>
          <w:b/>
          <w:bCs/>
          <w:color w:val="1B3A6B"/>
          <w:sz w:val="28"/>
          <w:szCs w:val="28"/>
        </w:rPr>
        <w:t xml:space="preserve">6.  Proposed Functionalities</w:t>
      </w:r>
    </w:p>
    <w:p>
      <w:pPr>
        <w:spacing w:after="80" w:before="200"/>
      </w:pPr>
      <w:r>
        <w:rPr>
          <w:rFonts w:ascii="Calibri" w:cs="Calibri" w:eastAsia="Calibri" w:hAnsi="Calibri"/>
          <w:b/>
          <w:bCs/>
          <w:color w:val="2E5FAC"/>
          <w:sz w:val="22"/>
          <w:szCs w:val="22"/>
        </w:rPr>
        <w:t xml:space="preserve">6.1  User Authentication System</w:t>
      </w:r>
    </w:p>
    <w:p>
      <w:pPr>
        <w:pStyle w:val="ListParagraph"/>
        <w:numPr>
          <w:ilvl w:val="0"/>
          <w:numId w:val="2"/>
        </w:numPr>
        <w:spacing w:after="50" w:before="50"/>
      </w:pPr>
      <w:r>
        <w:rPr>
          <w:rFonts w:ascii="Calibri" w:cs="Calibri" w:eastAsia="Calibri" w:hAnsi="Calibri"/>
          <w:color w:val="374151"/>
          <w:sz w:val="21"/>
          <w:szCs w:val="21"/>
        </w:rPr>
        <w:t xml:space="preserve">New user registration with validated name, email, and password fields.</w:t>
      </w:r>
    </w:p>
    <w:p>
      <w:pPr>
        <w:pStyle w:val="ListParagraph"/>
        <w:numPr>
          <w:ilvl w:val="0"/>
          <w:numId w:val="2"/>
        </w:numPr>
        <w:spacing w:after="50" w:before="50"/>
      </w:pPr>
      <w:r>
        <w:rPr>
          <w:rFonts w:ascii="Calibri" w:cs="Calibri" w:eastAsia="Calibri" w:hAnsi="Calibri"/>
          <w:color w:val="374151"/>
          <w:sz w:val="21"/>
          <w:szCs w:val="21"/>
        </w:rPr>
        <w:t xml:space="preserve">Secure login authentication with hashed credential verification.</w:t>
      </w:r>
    </w:p>
    <w:p>
      <w:pPr>
        <w:pStyle w:val="ListParagraph"/>
        <w:numPr>
          <w:ilvl w:val="0"/>
          <w:numId w:val="2"/>
        </w:numPr>
        <w:spacing w:after="50" w:before="50"/>
      </w:pPr>
      <w:r>
        <w:rPr>
          <w:rFonts w:ascii="Calibri" w:cs="Calibri" w:eastAsia="Calibri" w:hAnsi="Calibri"/>
          <w:color w:val="374151"/>
          <w:sz w:val="21"/>
          <w:szCs w:val="21"/>
        </w:rPr>
        <w:t xml:space="preserve">Password complexity enforcement — minimum length, no blank submissions.</w:t>
      </w:r>
    </w:p>
    <w:p>
      <w:pPr>
        <w:pStyle w:val="ListParagraph"/>
        <w:numPr>
          <w:ilvl w:val="0"/>
          <w:numId w:val="2"/>
        </w:numPr>
        <w:spacing w:after="50" w:before="50"/>
      </w:pPr>
      <w:r>
        <w:rPr>
          <w:rFonts w:ascii="Calibri" w:cs="Calibri" w:eastAsia="Calibri" w:hAnsi="Calibri"/>
          <w:color w:val="374151"/>
          <w:sz w:val="21"/>
          <w:szCs w:val="21"/>
        </w:rPr>
        <w:t xml:space="preserve">Session initialization upon successful authentication and logout functionality.</w:t>
      </w:r>
    </w:p>
    <w:p>
      <w:pPr>
        <w:spacing w:after="0" w:before="80"/>
      </w:pPr>
      <w:r>
        <w:t xml:space="preserve"/>
      </w:r>
    </w:p>
    <w:p>
      <w:pPr>
        <w:spacing w:after="80" w:before="200"/>
      </w:pPr>
      <w:r>
        <w:rPr>
          <w:rFonts w:ascii="Calibri" w:cs="Calibri" w:eastAsia="Calibri" w:hAnsi="Calibri"/>
          <w:b/>
          <w:bCs/>
          <w:color w:val="2E5FAC"/>
          <w:sz w:val="22"/>
          <w:szCs w:val="22"/>
        </w:rPr>
        <w:t xml:space="preserve">6.2  Central Balance Dashboard</w:t>
      </w:r>
    </w:p>
    <w:p>
      <w:pPr>
        <w:pStyle w:val="ListParagraph"/>
        <w:numPr>
          <w:ilvl w:val="0"/>
          <w:numId w:val="2"/>
        </w:numPr>
        <w:spacing w:after="50" w:before="50"/>
      </w:pPr>
      <w:r>
        <w:rPr>
          <w:rFonts w:ascii="Calibri" w:cs="Calibri" w:eastAsia="Calibri" w:hAnsi="Calibri"/>
          <w:color w:val="374151"/>
          <w:sz w:val="21"/>
          <w:szCs w:val="21"/>
        </w:rPr>
        <w:t xml:space="preserve">Real-time display of net balances: total amount owed and total amount receivable.</w:t>
      </w:r>
    </w:p>
    <w:p>
      <w:pPr>
        <w:pStyle w:val="ListParagraph"/>
        <w:numPr>
          <w:ilvl w:val="0"/>
          <w:numId w:val="2"/>
        </w:numPr>
        <w:spacing w:after="50" w:before="50"/>
      </w:pPr>
      <w:r>
        <w:rPr>
          <w:rFonts w:ascii="Calibri" w:cs="Calibri" w:eastAsia="Calibri" w:hAnsi="Calibri"/>
          <w:color w:val="374151"/>
          <w:sz w:val="21"/>
          <w:szCs w:val="21"/>
        </w:rPr>
        <w:t xml:space="preserve">Visual summary of unsettled debts across all active groups.</w:t>
      </w:r>
    </w:p>
    <w:p>
      <w:pPr>
        <w:pStyle w:val="ListParagraph"/>
        <w:numPr>
          <w:ilvl w:val="0"/>
          <w:numId w:val="2"/>
        </w:numPr>
        <w:spacing w:after="50" w:before="50"/>
      </w:pPr>
      <w:r>
        <w:rPr>
          <w:rFonts w:ascii="Calibri" w:cs="Calibri" w:eastAsia="Calibri" w:hAnsi="Calibri"/>
          <w:color w:val="374151"/>
          <w:sz w:val="21"/>
          <w:szCs w:val="21"/>
        </w:rPr>
        <w:t xml:space="preserve">Quick-access navigation to all primary modules from a single hub screen.</w:t>
      </w:r>
    </w:p>
    <w:p>
      <w:pPr>
        <w:spacing w:after="0" w:before="80"/>
      </w:pPr>
      <w:r>
        <w:t xml:space="preserve"/>
      </w:r>
    </w:p>
    <w:p>
      <w:pPr>
        <w:spacing w:after="80" w:before="200"/>
      </w:pPr>
      <w:r>
        <w:rPr>
          <w:rFonts w:ascii="Calibri" w:cs="Calibri" w:eastAsia="Calibri" w:hAnsi="Calibri"/>
          <w:b/>
          <w:bCs/>
          <w:color w:val="2E5FAC"/>
          <w:sz w:val="22"/>
          <w:szCs w:val="22"/>
        </w:rPr>
        <w:t xml:space="preserve">6.3  Group Lifecycle Management</w:t>
      </w:r>
    </w:p>
    <w:p>
      <w:pPr>
        <w:pStyle w:val="ListParagraph"/>
        <w:numPr>
          <w:ilvl w:val="0"/>
          <w:numId w:val="2"/>
        </w:numPr>
        <w:spacing w:after="50" w:before="50"/>
      </w:pPr>
      <w:r>
        <w:rPr>
          <w:rFonts w:ascii="Calibri" w:cs="Calibri" w:eastAsia="Calibri" w:hAnsi="Calibri"/>
          <w:color w:val="374151"/>
          <w:sz w:val="21"/>
          <w:szCs w:val="21"/>
        </w:rPr>
        <w:t xml:space="preserve">Create named peer groups — e.g., "Murree Trip", "Apartment 4B", "Office Lunch Squad".</w:t>
      </w:r>
    </w:p>
    <w:p>
      <w:pPr>
        <w:pStyle w:val="ListParagraph"/>
        <w:numPr>
          <w:ilvl w:val="0"/>
          <w:numId w:val="2"/>
        </w:numPr>
        <w:spacing w:after="50" w:before="50"/>
      </w:pPr>
      <w:r>
        <w:rPr>
          <w:rFonts w:ascii="Calibri" w:cs="Calibri" w:eastAsia="Calibri" w:hAnsi="Calibri"/>
          <w:color w:val="374151"/>
          <w:sz w:val="21"/>
          <w:szCs w:val="21"/>
        </w:rPr>
        <w:t xml:space="preserve">Add and remove members from any active group dynamically.</w:t>
      </w:r>
    </w:p>
    <w:p>
      <w:pPr>
        <w:pStyle w:val="ListParagraph"/>
        <w:numPr>
          <w:ilvl w:val="0"/>
          <w:numId w:val="2"/>
        </w:numPr>
        <w:spacing w:after="50" w:before="50"/>
      </w:pPr>
      <w:r>
        <w:rPr>
          <w:rFonts w:ascii="Calibri" w:cs="Calibri" w:eastAsia="Calibri" w:hAnsi="Calibri"/>
          <w:color w:val="374151"/>
          <w:sz w:val="21"/>
          <w:szCs w:val="21"/>
        </w:rPr>
        <w:t xml:space="preserve">Update group names and configurations at any time.</w:t>
      </w:r>
    </w:p>
    <w:p>
      <w:pPr>
        <w:pStyle w:val="ListParagraph"/>
        <w:numPr>
          <w:ilvl w:val="0"/>
          <w:numId w:val="2"/>
        </w:numPr>
        <w:spacing w:after="50" w:before="50"/>
      </w:pPr>
      <w:r>
        <w:rPr>
          <w:rFonts w:ascii="Calibri" w:cs="Calibri" w:eastAsia="Calibri" w:hAnsi="Calibri"/>
          <w:color w:val="374151"/>
          <w:sz w:val="21"/>
          <w:szCs w:val="21"/>
        </w:rPr>
        <w:t xml:space="preserve">Delete groups upon full settlement of all internal member debts.</w:t>
      </w:r>
    </w:p>
    <w:p>
      <w:pPr>
        <w:spacing w:after="0" w:before="80"/>
      </w:pPr>
      <w:r>
        <w:t xml:space="preserve"/>
      </w:r>
    </w:p>
    <w:p>
      <w:pPr>
        <w:spacing w:after="80" w:before="200"/>
      </w:pPr>
      <w:r>
        <w:rPr>
          <w:rFonts w:ascii="Calibri" w:cs="Calibri" w:eastAsia="Calibri" w:hAnsi="Calibri"/>
          <w:b/>
          <w:bCs/>
          <w:color w:val="2E5FAC"/>
          <w:sz w:val="22"/>
          <w:szCs w:val="22"/>
        </w:rPr>
        <w:t xml:space="preserve">6.4  Expense Record Management — Full CRUD</w:t>
      </w:r>
    </w:p>
    <w:p>
      <w:pPr>
        <w:pStyle w:val="ListParagraph"/>
        <w:numPr>
          <w:ilvl w:val="0"/>
          <w:numId w:val="2"/>
        </w:numPr>
        <w:spacing w:after="50" w:before="50"/>
      </w:pPr>
      <w:r>
        <w:rPr>
          <w:rFonts w:ascii="Calibri" w:cs="Calibri" w:eastAsia="Calibri" w:hAnsi="Calibri"/>
          <w:color w:val="374151"/>
          <w:sz w:val="21"/>
          <w:szCs w:val="21"/>
        </w:rPr>
        <w:t xml:space="preserve">CREATE — Log new expense entries with title, amount, category, date, payer, and participants.</w:t>
      </w:r>
    </w:p>
    <w:p>
      <w:pPr>
        <w:pStyle w:val="ListParagraph"/>
        <w:numPr>
          <w:ilvl w:val="0"/>
          <w:numId w:val="2"/>
        </w:numPr>
        <w:spacing w:after="50" w:before="50"/>
      </w:pPr>
      <w:r>
        <w:rPr>
          <w:rFonts w:ascii="Calibri" w:cs="Calibri" w:eastAsia="Calibri" w:hAnsi="Calibri"/>
          <w:color w:val="374151"/>
          <w:sz w:val="21"/>
          <w:szCs w:val="21"/>
        </w:rPr>
        <w:t xml:space="preserve">READ — View complete, chronologically ordered expense history per group.</w:t>
      </w:r>
    </w:p>
    <w:p>
      <w:pPr>
        <w:pStyle w:val="ListParagraph"/>
        <w:numPr>
          <w:ilvl w:val="0"/>
          <w:numId w:val="2"/>
        </w:numPr>
        <w:spacing w:after="50" w:before="50"/>
      </w:pPr>
      <w:r>
        <w:rPr>
          <w:rFonts w:ascii="Calibri" w:cs="Calibri" w:eastAsia="Calibri" w:hAnsi="Calibri"/>
          <w:color w:val="374151"/>
          <w:sz w:val="21"/>
          <w:szCs w:val="21"/>
        </w:rPr>
        <w:t xml:space="preserve">UPDATE — Modify any previously submitted expense record with full field editability.</w:t>
      </w:r>
    </w:p>
    <w:p>
      <w:pPr>
        <w:pStyle w:val="ListParagraph"/>
        <w:numPr>
          <w:ilvl w:val="0"/>
          <w:numId w:val="2"/>
        </w:numPr>
        <w:spacing w:after="50" w:before="50"/>
      </w:pPr>
      <w:r>
        <w:rPr>
          <w:rFonts w:ascii="Calibri" w:cs="Calibri" w:eastAsia="Calibri" w:hAnsi="Calibri"/>
          <w:color w:val="374151"/>
          <w:sz w:val="21"/>
          <w:szCs w:val="21"/>
        </w:rPr>
        <w:t xml:space="preserve">DELETE — Permanently remove settled or erroneous entries from the ledger.</w:t>
      </w:r>
    </w:p>
    <w:p>
      <w:pPr>
        <w:spacing w:after="0" w:before="80"/>
      </w:pPr>
      <w:r>
        <w:t xml:space="preserve"/>
      </w:r>
    </w:p>
    <w:p>
      <w:pPr>
        <w:spacing w:after="80" w:before="200"/>
      </w:pPr>
      <w:r>
        <w:rPr>
          <w:rFonts w:ascii="Calibri" w:cs="Calibri" w:eastAsia="Calibri" w:hAnsi="Calibri"/>
          <w:b/>
          <w:bCs/>
          <w:color w:val="2E5FAC"/>
          <w:sz w:val="22"/>
          <w:szCs w:val="22"/>
        </w:rPr>
        <w:t xml:space="preserve">6.5  Dynamic Financial Splitting Engine</w:t>
      </w:r>
    </w:p>
    <w:p>
      <w:pPr>
        <w:pStyle w:val="ListParagraph"/>
        <w:numPr>
          <w:ilvl w:val="0"/>
          <w:numId w:val="2"/>
        </w:numPr>
        <w:spacing w:after="50" w:before="50"/>
      </w:pPr>
      <w:r>
        <w:rPr>
          <w:rFonts w:ascii="Calibri" w:cs="Calibri" w:eastAsia="Calibri" w:hAnsi="Calibri"/>
          <w:color w:val="374151"/>
          <w:sz w:val="21"/>
          <w:szCs w:val="21"/>
        </w:rPr>
        <w:t xml:space="preserve">Equal Split — Divide total cost evenly across all selected participants automatically.</w:t>
      </w:r>
    </w:p>
    <w:p>
      <w:pPr>
        <w:pStyle w:val="ListParagraph"/>
        <w:numPr>
          <w:ilvl w:val="0"/>
          <w:numId w:val="2"/>
        </w:numPr>
        <w:spacing w:after="50" w:before="50"/>
      </w:pPr>
      <w:r>
        <w:rPr>
          <w:rFonts w:ascii="Calibri" w:cs="Calibri" w:eastAsia="Calibri" w:hAnsi="Calibri"/>
          <w:color w:val="374151"/>
          <w:sz w:val="21"/>
          <w:szCs w:val="21"/>
        </w:rPr>
        <w:t xml:space="preserve">Custom Split — Manually assign specific monetary amounts to each individual member.</w:t>
      </w:r>
    </w:p>
    <w:p>
      <w:pPr>
        <w:pStyle w:val="ListParagraph"/>
        <w:numPr>
          <w:ilvl w:val="0"/>
          <w:numId w:val="2"/>
        </w:numPr>
        <w:spacing w:after="50" w:before="50"/>
      </w:pPr>
      <w:r>
        <w:rPr>
          <w:rFonts w:ascii="Calibri" w:cs="Calibri" w:eastAsia="Calibri" w:hAnsi="Calibri"/>
          <w:color w:val="374151"/>
          <w:sz w:val="21"/>
          <w:szCs w:val="21"/>
        </w:rPr>
        <w:t xml:space="preserve">Percentage Split — Distribute costs by weighted percentage values per participant.</w:t>
      </w:r>
    </w:p>
    <w:p>
      <w:pPr>
        <w:spacing w:after="0" w:before="80"/>
      </w:pPr>
      <w:r>
        <w:t xml:space="preserve"/>
      </w:r>
    </w:p>
    <w:p>
      <w:pPr>
        <w:spacing w:after="80" w:before="200"/>
      </w:pPr>
      <w:r>
        <w:rPr>
          <w:rFonts w:ascii="Calibri" w:cs="Calibri" w:eastAsia="Calibri" w:hAnsi="Calibri"/>
          <w:b/>
          <w:bCs/>
          <w:color w:val="2E5FAC"/>
          <w:sz w:val="22"/>
          <w:szCs w:val="22"/>
        </w:rPr>
        <w:t xml:space="preserve">6.6  Debt Settlement Module</w:t>
      </w:r>
    </w:p>
    <w:p>
      <w:pPr>
        <w:pStyle w:val="ListParagraph"/>
        <w:numPr>
          <w:ilvl w:val="0"/>
          <w:numId w:val="2"/>
        </w:numPr>
        <w:spacing w:after="50" w:before="50"/>
      </w:pPr>
      <w:r>
        <w:rPr>
          <w:rFonts w:ascii="Calibri" w:cs="Calibri" w:eastAsia="Calibri" w:hAnsi="Calibri"/>
          <w:color w:val="374151"/>
          <w:sz w:val="21"/>
          <w:szCs w:val="21"/>
        </w:rPr>
        <w:t xml:space="preserve">Automatically calculate net balances — "Ali owes you Rs. 750" displayed with clarity.</w:t>
      </w:r>
    </w:p>
    <w:p>
      <w:pPr>
        <w:pStyle w:val="ListParagraph"/>
        <w:numPr>
          <w:ilvl w:val="0"/>
          <w:numId w:val="2"/>
        </w:numPr>
        <w:spacing w:after="50" w:before="50"/>
      </w:pPr>
      <w:r>
        <w:rPr>
          <w:rFonts w:ascii="Calibri" w:cs="Calibri" w:eastAsia="Calibri" w:hAnsi="Calibri"/>
          <w:color w:val="374151"/>
          <w:sz w:val="21"/>
          <w:szCs w:val="21"/>
        </w:rPr>
        <w:t xml:space="preserve">Single-click Settle Up workflow to mark payments as fully resolved.</w:t>
      </w:r>
    </w:p>
    <w:p>
      <w:pPr>
        <w:pStyle w:val="ListParagraph"/>
        <w:numPr>
          <w:ilvl w:val="0"/>
          <w:numId w:val="2"/>
        </w:numPr>
        <w:spacing w:after="50" w:before="50"/>
      </w:pPr>
      <w:r>
        <w:rPr>
          <w:rFonts w:ascii="Calibri" w:cs="Calibri" w:eastAsia="Calibri" w:hAnsi="Calibri"/>
          <w:color w:val="374151"/>
          <w:sz w:val="21"/>
          <w:szCs w:val="21"/>
        </w:rPr>
        <w:t xml:space="preserve">Settlement confirmation and automatic balance zeroing upon payment acknowledgment.</w:t>
      </w:r>
    </w:p>
    <w:p>
      <w:pPr>
        <w:spacing w:after="0" w:before="80"/>
      </w:pPr>
      <w:r>
        <w:t xml:space="preserve"/>
      </w:r>
    </w:p>
    <w:p>
      <w:pPr>
        <w:spacing w:after="80" w:before="200"/>
      </w:pPr>
      <w:r>
        <w:rPr>
          <w:rFonts w:ascii="Calibri" w:cs="Calibri" w:eastAsia="Calibri" w:hAnsi="Calibri"/>
          <w:b/>
          <w:bCs/>
          <w:color w:val="2E5FAC"/>
          <w:sz w:val="22"/>
          <w:szCs w:val="22"/>
        </w:rPr>
        <w:t xml:space="preserve">6.7  Advanced Search &amp; Filtering</w:t>
      </w:r>
    </w:p>
    <w:p>
      <w:pPr>
        <w:pStyle w:val="ListParagraph"/>
        <w:numPr>
          <w:ilvl w:val="0"/>
          <w:numId w:val="2"/>
        </w:numPr>
        <w:spacing w:after="50" w:before="50"/>
      </w:pPr>
      <w:r>
        <w:rPr>
          <w:rFonts w:ascii="Calibri" w:cs="Calibri" w:eastAsia="Calibri" w:hAnsi="Calibri"/>
          <w:color w:val="374151"/>
          <w:sz w:val="21"/>
          <w:szCs w:val="21"/>
        </w:rPr>
        <w:t xml:space="preserve">Search expense records by participant or group member name.</w:t>
      </w:r>
    </w:p>
    <w:p>
      <w:pPr>
        <w:pStyle w:val="ListParagraph"/>
        <w:numPr>
          <w:ilvl w:val="0"/>
          <w:numId w:val="2"/>
        </w:numPr>
        <w:spacing w:after="50" w:before="50"/>
      </w:pPr>
      <w:r>
        <w:rPr>
          <w:rFonts w:ascii="Calibri" w:cs="Calibri" w:eastAsia="Calibri" w:hAnsi="Calibri"/>
          <w:color w:val="374151"/>
          <w:sz w:val="21"/>
          <w:szCs w:val="21"/>
        </w:rPr>
        <w:t xml:space="preserve">Filter history by defined date ranges (start date to end date).</w:t>
      </w:r>
    </w:p>
    <w:p>
      <w:pPr>
        <w:pStyle w:val="ListParagraph"/>
        <w:numPr>
          <w:ilvl w:val="0"/>
          <w:numId w:val="2"/>
        </w:numPr>
        <w:spacing w:after="50" w:before="50"/>
      </w:pPr>
      <w:r>
        <w:rPr>
          <w:rFonts w:ascii="Calibri" w:cs="Calibri" w:eastAsia="Calibri" w:hAnsi="Calibri"/>
          <w:color w:val="374151"/>
          <w:sz w:val="21"/>
          <w:szCs w:val="21"/>
        </w:rPr>
        <w:t xml:space="preserve">Filter by expense category: Food, Rent, Travel, Utilities, Entertainment.</w:t>
      </w:r>
    </w:p>
    <w:p>
      <w:pPr>
        <w:pStyle w:val="ListParagraph"/>
        <w:numPr>
          <w:ilvl w:val="0"/>
          <w:numId w:val="2"/>
        </w:numPr>
        <w:spacing w:after="50" w:before="50"/>
      </w:pPr>
      <w:r>
        <w:rPr>
          <w:rFonts w:ascii="Calibri" w:cs="Calibri" w:eastAsia="Calibri" w:hAnsi="Calibri"/>
          <w:color w:val="374151"/>
          <w:sz w:val="21"/>
          <w:szCs w:val="21"/>
        </w:rPr>
        <w:t xml:space="preserve">Filter by peer group to isolate group-specific financial data.</w:t>
      </w:r>
    </w:p>
    <w:p>
      <w:pPr>
        <w:spacing w:after="0" w:before="80"/>
      </w:pPr>
      <w:r>
        <w:t xml:space="preserve"/>
      </w:r>
    </w:p>
    <w:p>
      <w:pPr>
        <w:spacing w:after="80" w:before="200"/>
      </w:pPr>
      <w:r>
        <w:rPr>
          <w:rFonts w:ascii="Calibri" w:cs="Calibri" w:eastAsia="Calibri" w:hAnsi="Calibri"/>
          <w:b/>
          <w:bCs/>
          <w:color w:val="2E5FAC"/>
          <w:sz w:val="22"/>
          <w:szCs w:val="22"/>
        </w:rPr>
        <w:t xml:space="preserve">6.8  Input Validation &amp; Exception Handling</w:t>
      </w:r>
    </w:p>
    <w:p>
      <w:pPr>
        <w:pStyle w:val="ListParagraph"/>
        <w:numPr>
          <w:ilvl w:val="0"/>
          <w:numId w:val="2"/>
        </w:numPr>
        <w:spacing w:after="50" w:before="50"/>
      </w:pPr>
      <w:r>
        <w:rPr>
          <w:rFonts w:ascii="Calibri" w:cs="Calibri" w:eastAsia="Calibri" w:hAnsi="Calibri"/>
          <w:color w:val="374151"/>
          <w:sz w:val="21"/>
          <w:szCs w:val="21"/>
        </w:rPr>
        <w:t xml:space="preserve">Block submission of blank or empty mandatory fields across all forms.</w:t>
      </w:r>
    </w:p>
    <w:p>
      <w:pPr>
        <w:pStyle w:val="ListParagraph"/>
        <w:numPr>
          <w:ilvl w:val="0"/>
          <w:numId w:val="2"/>
        </w:numPr>
        <w:spacing w:after="50" w:before="50"/>
      </w:pPr>
      <w:r>
        <w:rPr>
          <w:rFonts w:ascii="Calibri" w:cs="Calibri" w:eastAsia="Calibri" w:hAnsi="Calibri"/>
          <w:color w:val="374151"/>
          <w:sz w:val="21"/>
          <w:szCs w:val="21"/>
        </w:rPr>
        <w:t xml:space="preserve">Reject negative values in all monetary amount input fields.</w:t>
      </w:r>
    </w:p>
    <w:p>
      <w:pPr>
        <w:pStyle w:val="ListParagraph"/>
        <w:numPr>
          <w:ilvl w:val="0"/>
          <w:numId w:val="2"/>
        </w:numPr>
        <w:spacing w:after="50" w:before="50"/>
      </w:pPr>
      <w:r>
        <w:rPr>
          <w:rFonts w:ascii="Calibri" w:cs="Calibri" w:eastAsia="Calibri" w:hAnsi="Calibri"/>
          <w:color w:val="374151"/>
          <w:sz w:val="21"/>
          <w:szCs w:val="21"/>
        </w:rPr>
        <w:t xml:space="preserve">Prevent alphabetical characters from being entered in numeric fields.</w:t>
      </w:r>
    </w:p>
    <w:p>
      <w:pPr>
        <w:pStyle w:val="ListParagraph"/>
        <w:numPr>
          <w:ilvl w:val="0"/>
          <w:numId w:val="2"/>
        </w:numPr>
        <w:spacing w:after="50" w:before="50"/>
      </w:pPr>
      <w:r>
        <w:rPr>
          <w:rFonts w:ascii="Calibri" w:cs="Calibri" w:eastAsia="Calibri" w:hAnsi="Calibri"/>
          <w:color w:val="374151"/>
          <w:sz w:val="21"/>
          <w:szCs w:val="21"/>
        </w:rPr>
        <w:t xml:space="preserve">Reject duplicate email addresses during the user registration process.</w:t>
      </w:r>
    </w:p>
    <w:p>
      <w:pPr>
        <w:pStyle w:val="ListParagraph"/>
        <w:numPr>
          <w:ilvl w:val="0"/>
          <w:numId w:val="2"/>
        </w:numPr>
        <w:spacing w:after="50" w:before="50"/>
      </w:pPr>
      <w:r>
        <w:rPr>
          <w:rFonts w:ascii="Calibri" w:cs="Calibri" w:eastAsia="Calibri" w:hAnsi="Calibri"/>
          <w:color w:val="374151"/>
          <w:sz w:val="21"/>
          <w:szCs w:val="21"/>
        </w:rPr>
        <w:t xml:space="preserve">Graceful try-catch exception handling for all database connectivity operations.</w:t>
      </w:r>
    </w:p>
    <w:p>
      <w:pPr>
        <w:pStyle w:val="ListParagraph"/>
        <w:numPr>
          <w:ilvl w:val="0"/>
          <w:numId w:val="2"/>
        </w:numPr>
        <w:spacing w:after="50" w:before="50"/>
      </w:pPr>
      <w:r>
        <w:rPr>
          <w:rFonts w:ascii="Calibri" w:cs="Calibri" w:eastAsia="Calibri" w:hAnsi="Calibri"/>
          <w:color w:val="374151"/>
          <w:sz w:val="21"/>
          <w:szCs w:val="21"/>
        </w:rPr>
        <w:t xml:space="preserve">User-friendly, descriptive error messages displayed for all validation failures.</w:t>
      </w:r>
    </w:p>
    <w:p>
      <w:pPr>
        <w:spacing w:after="0" w:before="80"/>
      </w:pPr>
      <w:r>
        <w:t xml:space="preserve"/>
      </w:r>
    </w:p>
    <w:p>
      <w:pPr>
        <w:pBdr>
          <w:bottom w:val="single" w:color="2E5FAC" w:sz="4" w:space="4"/>
        </w:pBdr>
        <w:spacing w:after="120" w:before="320"/>
      </w:pPr>
      <w:r>
        <w:rPr>
          <w:rFonts w:ascii="Calibri" w:cs="Calibri" w:eastAsia="Calibri" w:hAnsi="Calibri"/>
          <w:b/>
          <w:bCs/>
          <w:color w:val="1B3A6B"/>
          <w:sz w:val="28"/>
          <w:szCs w:val="28"/>
        </w:rPr>
        <w:t xml:space="preserve">7.  Methods, Classes &amp; OOP Concepts</w:t>
      </w:r>
    </w:p>
    <w:p>
      <w:pPr>
        <w:spacing w:after="80" w:before="200"/>
      </w:pPr>
      <w:r>
        <w:rPr>
          <w:rFonts w:ascii="Calibri" w:cs="Calibri" w:eastAsia="Calibri" w:hAnsi="Calibri"/>
          <w:b/>
          <w:bCs/>
          <w:color w:val="2E5FAC"/>
          <w:sz w:val="22"/>
          <w:szCs w:val="22"/>
        </w:rPr>
        <w:t xml:space="preserve">7.1  Proposed Package &amp; Class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Package</w:t>
            </w:r>
          </w:p>
        </w:tc>
        <w:tc>
          <w:tcPr>
            <w:tcW w:type="dxa" w:w="180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Class</w:t>
            </w:r>
          </w:p>
        </w:tc>
        <w:tc>
          <w:tcPr>
            <w:tcW w:type="dxa" w:w="496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Scope &amp; Responsibility</w:t>
            </w:r>
          </w:p>
        </w:tc>
      </w:tr>
      <w:tr>
        <w:tc>
          <w:tcPr>
            <w:tcW w:type="dxa" w:w="26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com.expensesplitter.models</w:t>
            </w:r>
          </w:p>
        </w:tc>
        <w:tc>
          <w:tcPr>
            <w:tcW w:type="dxa" w:w="1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A1A2E"/>
                <w:sz w:val="21"/>
                <w:szCs w:val="21"/>
              </w:rPr>
              <w:t xml:space="preserve">User</w:t>
            </w:r>
          </w:p>
        </w:tc>
        <w:tc>
          <w:tcPr>
            <w:tcW w:type="dxa" w:w="4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Encapsulates user credentials, profile data, getters/setters.</w:t>
            </w:r>
          </w:p>
        </w:tc>
      </w:tr>
      <w:tr>
        <w:tc>
          <w:tcPr>
            <w:tcW w:type="dxa" w:w="26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com.expensesplitter.models</w:t>
            </w:r>
          </w:p>
        </w:tc>
        <w:tc>
          <w:tcPr>
            <w:tcW w:type="dxa" w:w="1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A1A2E"/>
                <w:sz w:val="21"/>
                <w:szCs w:val="21"/>
              </w:rPr>
              <w:t xml:space="preserve">Group</w:t>
            </w:r>
          </w:p>
        </w:tc>
        <w:tc>
          <w:tcPr>
            <w:tcW w:type="dxa" w:w="4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Models peer group structure, member lists, and metadata.</w:t>
            </w:r>
          </w:p>
        </w:tc>
      </w:tr>
      <w:tr>
        <w:tc>
          <w:tcPr>
            <w:tcW w:type="dxa" w:w="26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com.expensesplitter.models</w:t>
            </w:r>
          </w:p>
        </w:tc>
        <w:tc>
          <w:tcPr>
            <w:tcW w:type="dxa" w:w="1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A1A2E"/>
                <w:sz w:val="21"/>
                <w:szCs w:val="21"/>
              </w:rPr>
              <w:t xml:space="preserve">Expense</w:t>
            </w:r>
          </w:p>
        </w:tc>
        <w:tc>
          <w:tcPr>
            <w:tcW w:type="dxa" w:w="4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Maps bill entries, amounts, categories, and payer references.</w:t>
            </w:r>
          </w:p>
        </w:tc>
      </w:tr>
      <w:tr>
        <w:tc>
          <w:tcPr>
            <w:tcW w:type="dxa" w:w="26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com.expensesplitter.models</w:t>
            </w:r>
          </w:p>
        </w:tc>
        <w:tc>
          <w:tcPr>
            <w:tcW w:type="dxa" w:w="1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A1A2E"/>
                <w:sz w:val="21"/>
                <w:szCs w:val="21"/>
              </w:rPr>
              <w:t xml:space="preserve">Settlement</w:t>
            </w:r>
          </w:p>
        </w:tc>
        <w:tc>
          <w:tcPr>
            <w:tcW w:type="dxa" w:w="4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Records payment confirmations and balance resolution events.</w:t>
            </w:r>
          </w:p>
        </w:tc>
      </w:tr>
      <w:tr>
        <w:tc>
          <w:tcPr>
            <w:tcW w:type="dxa" w:w="26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com.expensesplitter.strategies</w:t>
            </w:r>
          </w:p>
        </w:tc>
        <w:tc>
          <w:tcPr>
            <w:tcW w:type="dxa" w:w="1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A1A2E"/>
                <w:sz w:val="21"/>
                <w:szCs w:val="21"/>
              </w:rPr>
              <w:t xml:space="preserve">SplitStrategy</w:t>
            </w:r>
          </w:p>
        </w:tc>
        <w:tc>
          <w:tcPr>
            <w:tcW w:type="dxa" w:w="4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Abstract base class — defines the split calculation contract.</w:t>
            </w:r>
          </w:p>
        </w:tc>
      </w:tr>
      <w:tr>
        <w:tc>
          <w:tcPr>
            <w:tcW w:type="dxa" w:w="26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com.expensesplitter.strategies</w:t>
            </w:r>
          </w:p>
        </w:tc>
        <w:tc>
          <w:tcPr>
            <w:tcW w:type="dxa" w:w="1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A1A2E"/>
                <w:sz w:val="21"/>
                <w:szCs w:val="21"/>
              </w:rPr>
              <w:t xml:space="preserve">EqualSplit</w:t>
            </w:r>
          </w:p>
        </w:tc>
        <w:tc>
          <w:tcPr>
            <w:tcW w:type="dxa" w:w="4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Extends SplitStrategy — divides cost equally per participant.</w:t>
            </w:r>
          </w:p>
        </w:tc>
      </w:tr>
      <w:tr>
        <w:tc>
          <w:tcPr>
            <w:tcW w:type="dxa" w:w="26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com.expensesplitter.strategies</w:t>
            </w:r>
          </w:p>
        </w:tc>
        <w:tc>
          <w:tcPr>
            <w:tcW w:type="dxa" w:w="1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A1A2E"/>
                <w:sz w:val="21"/>
                <w:szCs w:val="21"/>
              </w:rPr>
              <w:t xml:space="preserve">CustomSplit</w:t>
            </w:r>
          </w:p>
        </w:tc>
        <w:tc>
          <w:tcPr>
            <w:tcW w:type="dxa" w:w="4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Extends SplitStrategy — manages user-allocated individual amounts.</w:t>
            </w:r>
          </w:p>
        </w:tc>
      </w:tr>
      <w:tr>
        <w:tc>
          <w:tcPr>
            <w:tcW w:type="dxa" w:w="26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com.expensesplitter.strategies</w:t>
            </w:r>
          </w:p>
        </w:tc>
        <w:tc>
          <w:tcPr>
            <w:tcW w:type="dxa" w:w="1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A1A2E"/>
                <w:sz w:val="21"/>
                <w:szCs w:val="21"/>
              </w:rPr>
              <w:t xml:space="preserve">PercentageSplit</w:t>
            </w:r>
          </w:p>
        </w:tc>
        <w:tc>
          <w:tcPr>
            <w:tcW w:type="dxa" w:w="4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Extends SplitStrategy — distributes cost by percentage weight.</w:t>
            </w:r>
          </w:p>
        </w:tc>
      </w:tr>
      <w:tr>
        <w:tc>
          <w:tcPr>
            <w:tcW w:type="dxa" w:w="26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com.expensesplitter.database</w:t>
            </w:r>
          </w:p>
        </w:tc>
        <w:tc>
          <w:tcPr>
            <w:tcW w:type="dxa" w:w="1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A1A2E"/>
                <w:sz w:val="21"/>
                <w:szCs w:val="21"/>
              </w:rPr>
              <w:t xml:space="preserve">DatabaseConnection</w:t>
            </w:r>
          </w:p>
        </w:tc>
        <w:tc>
          <w:tcPr>
            <w:tcW w:type="dxa" w:w="4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Manages MySQL JDBC connection lifecycle — open and close.</w:t>
            </w:r>
          </w:p>
        </w:tc>
      </w:tr>
      <w:tr>
        <w:tc>
          <w:tcPr>
            <w:tcW w:type="dxa" w:w="26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com.expensesplitter.dao</w:t>
            </w:r>
          </w:p>
        </w:tc>
        <w:tc>
          <w:tcPr>
            <w:tcW w:type="dxa" w:w="1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A1A2E"/>
                <w:sz w:val="21"/>
                <w:szCs w:val="21"/>
              </w:rPr>
              <w:t xml:space="preserve">UserDAO</w:t>
            </w:r>
          </w:p>
        </w:tc>
        <w:tc>
          <w:tcPr>
            <w:tcW w:type="dxa" w:w="4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Executes all database queries related to user records.</w:t>
            </w:r>
          </w:p>
        </w:tc>
      </w:tr>
      <w:tr>
        <w:tc>
          <w:tcPr>
            <w:tcW w:type="dxa" w:w="26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com.expensesplitter.dao</w:t>
            </w:r>
          </w:p>
        </w:tc>
        <w:tc>
          <w:tcPr>
            <w:tcW w:type="dxa" w:w="18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A1A2E"/>
                <w:sz w:val="21"/>
                <w:szCs w:val="21"/>
              </w:rPr>
              <w:t xml:space="preserve">ExpenseDAO</w:t>
            </w:r>
          </w:p>
        </w:tc>
        <w:tc>
          <w:tcPr>
            <w:tcW w:type="dxa" w:w="4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Handles full CRUD SQL operations for expense entries.</w:t>
            </w:r>
          </w:p>
        </w:tc>
      </w:tr>
      <w:tr>
        <w:tc>
          <w:tcPr>
            <w:tcW w:type="dxa" w:w="26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ourier New" w:cs="Courier New" w:eastAsia="Courier New" w:hAnsi="Courier New"/>
                <w:b w:val="false"/>
                <w:bCs w:val="false"/>
                <w:color w:val="2E5FAC"/>
                <w:sz w:val="19"/>
                <w:szCs w:val="19"/>
              </w:rPr>
              <w:t xml:space="preserve">com.expensesplitter.validation</w:t>
            </w:r>
          </w:p>
        </w:tc>
        <w:tc>
          <w:tcPr>
            <w:tcW w:type="dxa" w:w="18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A1A2E"/>
                <w:sz w:val="21"/>
                <w:szCs w:val="21"/>
              </w:rPr>
              <w:t xml:space="preserve">InputValidator</w:t>
            </w:r>
          </w:p>
        </w:tc>
        <w:tc>
          <w:tcPr>
            <w:tcW w:type="dxa" w:w="4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Validates all user input — blocks illegal or empty parameters.</w:t>
            </w:r>
          </w:p>
        </w:tc>
      </w:tr>
    </w:tbl>
    <w:p>
      <w:pPr>
        <w:spacing w:after="0" w:before="100"/>
      </w:pPr>
      <w:r>
        <w:t xml:space="preserve"/>
      </w:r>
    </w:p>
    <w:p>
      <w:pPr>
        <w:spacing w:after="80" w:before="200"/>
      </w:pPr>
      <w:r>
        <w:rPr>
          <w:rFonts w:ascii="Calibri" w:cs="Calibri" w:eastAsia="Calibri" w:hAnsi="Calibri"/>
          <w:b/>
          <w:bCs/>
          <w:color w:val="2E5FAC"/>
          <w:sz w:val="22"/>
          <w:szCs w:val="22"/>
        </w:rPr>
        <w:t xml:space="preserve">7.2  Key Method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Class</w:t>
            </w:r>
          </w:p>
        </w:tc>
        <w:tc>
          <w:tcPr>
            <w:tcW w:type="dxa" w:w="696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Key Methods</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User</w:t>
            </w:r>
          </w:p>
        </w:tc>
        <w:tc>
          <w:tcPr>
            <w:tcW w:type="dxa" w:w="6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login(), registerAccount(), validatePassword(), getEmail(), setPassword()</w:t>
            </w:r>
          </w:p>
        </w:tc>
      </w:tr>
      <w:tr>
        <w:tc>
          <w:tcPr>
            <w:tcW w:type="dxa" w:w="24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Group</w:t>
            </w:r>
          </w:p>
        </w:tc>
        <w:tc>
          <w:tcPr>
            <w:tcW w:type="dxa" w:w="6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createNewGroup(), addGroupMember(), removeGroupMember(), updateGroupName()</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Expense</w:t>
            </w:r>
          </w:p>
        </w:tc>
        <w:tc>
          <w:tcPr>
            <w:tcW w:type="dxa" w:w="6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createExpense(), createExpense(String desc), updateExpenseDetails(), deleteExpenseRecord()</w:t>
            </w:r>
          </w:p>
        </w:tc>
      </w:tr>
      <w:tr>
        <w:tc>
          <w:tcPr>
            <w:tcW w:type="dxa" w:w="24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SplitStrategy</w:t>
            </w:r>
          </w:p>
        </w:tc>
        <w:tc>
          <w:tcPr>
            <w:tcW w:type="dxa" w:w="6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calculateSplit(double amount, List&lt;User&gt; members)  [abstract method]</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EqualSplit</w:t>
            </w:r>
          </w:p>
        </w:tc>
        <w:tc>
          <w:tcPr>
            <w:tcW w:type="dxa" w:w="6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@Override calculateSplit() — divides cost evenly across all members</w:t>
            </w:r>
          </w:p>
        </w:tc>
      </w:tr>
      <w:tr>
        <w:tc>
          <w:tcPr>
            <w:tcW w:type="dxa" w:w="24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CustomSplit</w:t>
            </w:r>
          </w:p>
        </w:tc>
        <w:tc>
          <w:tcPr>
            <w:tcW w:type="dxa" w:w="6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@Override calculateSplit() — applies custom per-member allocations</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PercentageSplit</w:t>
            </w:r>
          </w:p>
        </w:tc>
        <w:tc>
          <w:tcPr>
            <w:tcW w:type="dxa" w:w="6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@Override calculateSplit() — applies weighted percentage distribution</w:t>
            </w:r>
          </w:p>
        </w:tc>
      </w:tr>
      <w:tr>
        <w:tc>
          <w:tcPr>
            <w:tcW w:type="dxa" w:w="24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DatabaseConnection</w:t>
            </w:r>
          </w:p>
        </w:tc>
        <w:tc>
          <w:tcPr>
            <w:tcW w:type="dxa" w:w="6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establishConnection(), terminateConnection()</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InputValidator</w:t>
            </w:r>
          </w:p>
        </w:tc>
        <w:tc>
          <w:tcPr>
            <w:tcW w:type="dxa" w:w="6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validateAmount(), validateEmail(), isFieldEmpty(), isNumeric()</w:t>
            </w:r>
          </w:p>
        </w:tc>
      </w:tr>
    </w:tbl>
    <w:p>
      <w:pPr>
        <w:spacing w:after="0" w:before="100"/>
      </w:pPr>
      <w:r>
        <w:t xml:space="preserve"/>
      </w:r>
    </w:p>
    <w:p>
      <w:pPr>
        <w:spacing w:after="80" w:before="200"/>
      </w:pPr>
      <w:r>
        <w:rPr>
          <w:rFonts w:ascii="Calibri" w:cs="Calibri" w:eastAsia="Calibri" w:hAnsi="Calibri"/>
          <w:b/>
          <w:bCs/>
          <w:color w:val="2E5FAC"/>
          <w:sz w:val="22"/>
          <w:szCs w:val="22"/>
        </w:rPr>
        <w:t xml:space="preserve">7.3  OOP Concepts — Implementation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OOP Concept</w:t>
            </w:r>
          </w:p>
        </w:tc>
        <w:tc>
          <w:tcPr>
            <w:tcW w:type="dxa" w:w="6960"/>
            <w:tcBorders>
              <w:top w:val="single" w:color="1B3A6B" w:sz="1"/>
              <w:left w:val="single" w:color="1B3A6B" w:sz="1"/>
              <w:bottom w:val="single" w:color="1B3A6B" w:sz="1"/>
              <w:right w:val="single" w:color="1B3A6B" w:sz="1"/>
            </w:tcBorders>
            <w:shd w:fill="1B3A6B" w:val="clear"/>
            <w:tcMar>
              <w:top w:type="dxa" w:w="110"/>
              <w:left w:type="dxa" w:w="160"/>
              <w:bottom w:type="dxa" w:w="110"/>
              <w:right w:type="dxa" w:w="160"/>
            </w:tcMar>
          </w:tcPr>
          <w:p>
            <w:r>
              <w:rPr>
                <w:rFonts w:ascii="Calibri" w:cs="Calibri" w:eastAsia="Calibri" w:hAnsi="Calibri"/>
                <w:b/>
                <w:bCs/>
                <w:color w:val="FFFFFF"/>
                <w:sz w:val="21"/>
                <w:szCs w:val="21"/>
              </w:rPr>
              <w:t xml:space="preserve">Implementation in This Project</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Encapsulation</w:t>
            </w:r>
          </w:p>
        </w:tc>
        <w:tc>
          <w:tcPr>
            <w:tcW w:type="dxa" w:w="6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All model class attributes declared private; accessed exclusively via public getter/setter methods.</w:t>
            </w:r>
          </w:p>
        </w:tc>
      </w:tr>
      <w:tr>
        <w:tc>
          <w:tcPr>
            <w:tcW w:type="dxa" w:w="24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Abstraction</w:t>
            </w:r>
          </w:p>
        </w:tc>
        <w:tc>
          <w:tcPr>
            <w:tcW w:type="dxa" w:w="6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SplitStrategy is an abstract class exposing only the calculateSplit() contract — internal logic hidden from callers.</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Inheritance</w:t>
            </w:r>
          </w:p>
        </w:tc>
        <w:tc>
          <w:tcPr>
            <w:tcW w:type="dxa" w:w="6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EqualSplit, CustomSplit, and PercentageSplit all extend SplitStrategy, inheriting its structural blueprint.</w:t>
            </w:r>
          </w:p>
        </w:tc>
      </w:tr>
      <w:tr>
        <w:tc>
          <w:tcPr>
            <w:tcW w:type="dxa" w:w="24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Polymorphism</w:t>
            </w:r>
          </w:p>
        </w:tc>
        <w:tc>
          <w:tcPr>
            <w:tcW w:type="dxa" w:w="6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All three child strategy classes override calculateSplit() with distinct, independent mathematical implementations.</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Method Overloading</w:t>
            </w:r>
          </w:p>
        </w:tc>
        <w:tc>
          <w:tcPr>
            <w:tcW w:type="dxa" w:w="6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createExpense() overloaded: one version handles baseline fields; a second accepts an optional description parameter.</w:t>
            </w:r>
          </w:p>
        </w:tc>
      </w:tr>
      <w:tr>
        <w:tc>
          <w:tcPr>
            <w:tcW w:type="dxa" w:w="24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Method Overriding</w:t>
            </w:r>
          </w:p>
        </w:tc>
        <w:tc>
          <w:tcPr>
            <w:tcW w:type="dxa" w:w="6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Child strategy classes override calculateSplit(); model classes override toString() for formatted console output.</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bCs/>
                <w:color w:val="1B3A6B"/>
                <w:sz w:val="21"/>
                <w:szCs w:val="21"/>
              </w:rPr>
              <w:t xml:space="preserve">Constructors</w:t>
            </w:r>
          </w:p>
        </w:tc>
        <w:tc>
          <w:tcPr>
            <w:tcW w:type="dxa" w:w="6960"/>
            <w:tcBorders>
              <w:top w:val="single" w:color="D0D8E8" w:sz="1"/>
              <w:left w:val="single" w:color="D0D8E8" w:sz="1"/>
              <w:bottom w:val="single" w:color="D0D8E8" w:sz="1"/>
              <w:right w:val="single" w:color="D0D8E8"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Every class implements a parameterized constructor for controlled, validated object initialization.</w:t>
            </w:r>
          </w:p>
        </w:tc>
      </w:tr>
      <w:tr>
        <w:tc>
          <w:tcPr>
            <w:tcW w:type="dxa" w:w="240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bCs/>
                <w:color w:val="1B3A6B"/>
                <w:sz w:val="21"/>
                <w:szCs w:val="21"/>
              </w:rPr>
              <w:t xml:space="preserve">Classes &amp; Objects</w:t>
            </w:r>
          </w:p>
        </w:tc>
        <w:tc>
          <w:tcPr>
            <w:tcW w:type="dxa" w:w="6960"/>
            <w:tcBorders>
              <w:top w:val="single" w:color="D0D8E8" w:sz="1"/>
              <w:left w:val="single" w:color="D0D8E8" w:sz="1"/>
              <w:bottom w:val="single" w:color="D0D8E8" w:sz="1"/>
              <w:right w:val="single" w:color="D0D8E8" w:sz="1"/>
            </w:tcBorders>
            <w:shd w:fill="F4F6FA" w:val="clear"/>
            <w:tcMar>
              <w:top w:type="dxa" w:w="100"/>
              <w:left w:type="dxa" w:w="160"/>
              <w:bottom w:type="dxa" w:w="100"/>
              <w:right w:type="dxa" w:w="160"/>
            </w:tcMar>
          </w:tcPr>
          <w:p>
            <w:r>
              <w:rPr>
                <w:rFonts w:ascii="Calibri" w:cs="Calibri" w:eastAsia="Calibri" w:hAnsi="Calibri"/>
                <w:b w:val="false"/>
                <w:bCs w:val="false"/>
                <w:color w:val="374151"/>
                <w:sz w:val="21"/>
                <w:szCs w:val="21"/>
              </w:rPr>
              <w:t xml:space="preserve">User, Group, Expense, Settlement — each is a fully encapsulated, instantiated object at runtime.</w:t>
            </w:r>
          </w:p>
        </w:tc>
      </w:tr>
    </w:tbl>
    <w:p>
      <w:pPr>
        <w:spacing w:after="0" w:before="120"/>
      </w:pPr>
      <w:r>
        <w:t xml:space="preserve"/>
      </w:r>
    </w:p>
    <w:p>
      <w:pPr>
        <w:pBdr>
          <w:top w:val="single" w:color="D6E4F7" w:sz="4" w:space="8"/>
        </w:pBdr>
        <w:spacing w:before="200"/>
        <w:jc w:val="center"/>
      </w:pPr>
      <w:r>
        <w:rPr>
          <w:rFonts w:ascii="Calibri" w:cs="Calibri" w:eastAsia="Calibri" w:hAnsi="Calibri"/>
          <w:i/>
          <w:iCs/>
          <w:color w:val="4A90D9"/>
          <w:sz w:val="18"/>
          <w:szCs w:val="18"/>
        </w:rPr>
        <w:t xml:space="preserve">Software Construction &amp; Development  ·  Phase 1 Project Proposal  ·  Expense Splitter Application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4"/>
      </w:pBdr>
      <w:spacing w:before="80"/>
      <w:jc w:val="right"/>
    </w:pPr>
    <w:r>
      <w:rPr>
        <w:rFonts w:ascii="Calibri" w:cs="Calibri" w:eastAsia="Calibri" w:hAnsi="Calibri"/>
        <w:color w:val="374151"/>
        <w:sz w:val="18"/>
        <w:szCs w:val="18"/>
      </w:rPr>
      <w:t xml:space="preserve">Page </w:t>
    </w:r>
    <w:r>
      <w:rPr>
        <w:rFonts w:ascii="Calibri" w:cs="Calibri" w:eastAsia="Calibri" w:hAnsi="Calibri"/>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4"/>
      </w:pBdr>
      <w:spacing w:after="100"/>
    </w:pPr>
    <w:r>
      <w:rPr>
        <w:rFonts w:ascii="Calibri" w:cs="Calibri" w:eastAsia="Calibri" w:hAnsi="Calibri"/>
        <w:i/>
        <w:iCs/>
        <w:color w:val="2E5FAC"/>
        <w:sz w:val="18"/>
        <w:szCs w:val="18"/>
      </w:rPr>
      <w:t xml:space="preserve">Software Construction &amp; Development  |  Phase 1 Proposal  |  Expense Splitter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gt;"/>
      <w:lvlJc w:val="left"/>
      <w:pPr>
        <w:ind w:left="600" w:hanging="300"/>
      </w:pPr>
      <w:rPr>
        <w:rFonts w:ascii="Arial" w:cs="Arial" w:eastAsia="Arial" w:hAnsi="Arial"/>
        <w:color w:val="2E5FAC"/>
      </w:rPr>
    </w:lvl>
  </w:abstractNum>
  <w:abstractNum w:abstractNumId="3" w15:restartNumberingAfterBreak="0">
    <w:multiLevelType w:val="hybridMultilevel"/>
    <w:lvl w:ilvl="0" w15:tentative="1">
      <w:start w:val="1"/>
      <w:numFmt w:val="bullet"/>
      <w:lvlText w:val="-"/>
      <w:lvlJc w:val="left"/>
      <w:pPr>
        <w:ind w:left="900" w:hanging="300"/>
      </w:pPr>
      <w:rPr>
        <w:rFonts w:ascii="Arial" w:cs="Arial" w:eastAsia="Arial" w:hAnsi="Arial"/>
        <w:color w:val="37415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2026-06-07T08:02:25.712Z</dcterms:created>
  <dcterms:modified xsi:type="dcterms:W3CDTF">2026-06-07T08:02:25.712Z</dcterms:modified>
</cp:coreProperties>
</file>

<file path=docProps/custom.xml><?xml version="1.0" encoding="utf-8"?>
<Properties xmlns="http://schemas.openxmlformats.org/officeDocument/2006/custom-properties" xmlns:vt="http://schemas.openxmlformats.org/officeDocument/2006/docPropsVTypes"/>
</file>