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F4496" w14:textId="77777777" w:rsidR="00E41D11" w:rsidRPr="00E41D11" w:rsidRDefault="00E41D11" w:rsidP="00E41D11">
      <w:pPr>
        <w:rPr>
          <w:b/>
          <w:bCs/>
          <w:lang w:val="en-PK"/>
        </w:rPr>
      </w:pPr>
      <w:r w:rsidRPr="00E41D11">
        <w:rPr>
          <w:b/>
          <w:bCs/>
          <w:lang w:val="en-PK"/>
        </w:rPr>
        <w:t>STRATEGIC TECHNOLOGY PARTNERSHIP AGREEMENT</w:t>
      </w:r>
    </w:p>
    <w:p w14:paraId="70B6FB24" w14:textId="77777777" w:rsidR="00E41D11" w:rsidRPr="00E41D11" w:rsidRDefault="00E41D11" w:rsidP="00E41D11">
      <w:pPr>
        <w:rPr>
          <w:b/>
          <w:bCs/>
          <w:lang w:val="en-PK"/>
        </w:rPr>
      </w:pPr>
      <w:r w:rsidRPr="00E41D11">
        <w:rPr>
          <w:b/>
          <w:bCs/>
          <w:lang w:val="en-PK"/>
        </w:rPr>
        <w:t>This Strategic Technology Partnership Agreement (“Agreement”) is entered into on March 1, 2026, by and between:</w:t>
      </w:r>
    </w:p>
    <w:p w14:paraId="36CD8D50" w14:textId="77777777" w:rsidR="00E41D11" w:rsidRPr="00E41D11" w:rsidRDefault="00E41D11" w:rsidP="00E41D11">
      <w:pPr>
        <w:rPr>
          <w:b/>
          <w:bCs/>
          <w:lang w:val="en-PK"/>
        </w:rPr>
      </w:pPr>
      <w:r w:rsidRPr="00E41D11">
        <w:rPr>
          <w:b/>
          <w:bCs/>
          <w:lang w:val="en-PK"/>
        </w:rPr>
        <w:t>HelixNova Digital Solutions Ltd., incorporated under the laws of Valeris, with its principal office at 77 Apex Tower, Central Business District (“Provider”),</w:t>
      </w:r>
    </w:p>
    <w:p w14:paraId="06B30C02" w14:textId="77777777" w:rsidR="00E41D11" w:rsidRPr="00E41D11" w:rsidRDefault="00E41D11" w:rsidP="00E41D11">
      <w:pPr>
        <w:rPr>
          <w:b/>
          <w:bCs/>
          <w:lang w:val="en-PK"/>
        </w:rPr>
      </w:pPr>
      <w:r w:rsidRPr="00E41D11">
        <w:rPr>
          <w:b/>
          <w:bCs/>
          <w:lang w:val="en-PK"/>
        </w:rPr>
        <w:t>AND</w:t>
      </w:r>
    </w:p>
    <w:p w14:paraId="1DE06951" w14:textId="77777777" w:rsidR="00E41D11" w:rsidRPr="00E41D11" w:rsidRDefault="00E41D11" w:rsidP="00E41D11">
      <w:pPr>
        <w:rPr>
          <w:b/>
          <w:bCs/>
          <w:lang w:val="en-PK"/>
        </w:rPr>
      </w:pPr>
      <w:r w:rsidRPr="00E41D11">
        <w:rPr>
          <w:b/>
          <w:bCs/>
          <w:lang w:val="en-PK"/>
        </w:rPr>
        <w:t>IronCliff Infrastructure Group PLC, incorporated under the laws of Dorland, with offices at 410 Foundry Avenue, Harbor City (“Client”).</w:t>
      </w:r>
    </w:p>
    <w:p w14:paraId="453511EE" w14:textId="77777777" w:rsidR="00E41D11" w:rsidRPr="00E41D11" w:rsidRDefault="00E41D11" w:rsidP="00E41D11">
      <w:pPr>
        <w:rPr>
          <w:b/>
          <w:bCs/>
          <w:lang w:val="en-PK"/>
        </w:rPr>
      </w:pPr>
      <w:r w:rsidRPr="00E41D11">
        <w:rPr>
          <w:b/>
          <w:bCs/>
          <w:lang w:val="en-PK"/>
        </w:rPr>
        <w:pict w14:anchorId="00AC2CD2">
          <v:rect id="_x0000_i1141" style="width:0;height:1.5pt" o:hralign="center" o:hrstd="t" o:hr="t" fillcolor="#a0a0a0" stroked="f"/>
        </w:pict>
      </w:r>
    </w:p>
    <w:p w14:paraId="1FFDB892" w14:textId="77777777" w:rsidR="00E41D11" w:rsidRPr="00E41D11" w:rsidRDefault="00E41D11" w:rsidP="00E41D11">
      <w:pPr>
        <w:rPr>
          <w:b/>
          <w:bCs/>
          <w:lang w:val="en-PK"/>
        </w:rPr>
      </w:pPr>
      <w:r w:rsidRPr="00E41D11">
        <w:rPr>
          <w:b/>
          <w:bCs/>
          <w:lang w:val="en-PK"/>
        </w:rPr>
        <w:t>1. Scope of Services</w:t>
      </w:r>
    </w:p>
    <w:p w14:paraId="639E7C19" w14:textId="77777777" w:rsidR="00E41D11" w:rsidRPr="00E41D11" w:rsidRDefault="00E41D11" w:rsidP="00E41D11">
      <w:pPr>
        <w:rPr>
          <w:b/>
          <w:bCs/>
          <w:lang w:val="en-PK"/>
        </w:rPr>
      </w:pPr>
      <w:r w:rsidRPr="00E41D11">
        <w:rPr>
          <w:b/>
          <w:bCs/>
          <w:lang w:val="en-PK"/>
        </w:rPr>
        <w:t>Provider shall deliver enterprise resource optimization software, advisory services, and operational integration support to Client across all current and future subsidiaries, affiliates, joint ventures, and expansion territories.</w:t>
      </w:r>
    </w:p>
    <w:p w14:paraId="520BBAB9" w14:textId="77777777" w:rsidR="00E41D11" w:rsidRPr="00E41D11" w:rsidRDefault="00E41D11" w:rsidP="00E41D11">
      <w:pPr>
        <w:rPr>
          <w:b/>
          <w:bCs/>
          <w:lang w:val="en-PK"/>
        </w:rPr>
      </w:pPr>
      <w:r w:rsidRPr="00E41D11">
        <w:rPr>
          <w:b/>
          <w:bCs/>
          <w:lang w:val="en-PK"/>
        </w:rPr>
        <w:t>Provider shall determine the appropriate methodologies, tools, technical architecture, and personnel necessary for service delivery.</w:t>
      </w:r>
    </w:p>
    <w:p w14:paraId="27073DC6" w14:textId="77777777" w:rsidR="00E41D11" w:rsidRPr="00E41D11" w:rsidRDefault="00E41D11" w:rsidP="00E41D11">
      <w:pPr>
        <w:rPr>
          <w:b/>
          <w:bCs/>
          <w:lang w:val="en-PK"/>
        </w:rPr>
      </w:pPr>
      <w:r w:rsidRPr="00E41D11">
        <w:rPr>
          <w:b/>
          <w:bCs/>
          <w:lang w:val="en-PK"/>
        </w:rPr>
        <w:pict w14:anchorId="68402F7B">
          <v:rect id="_x0000_i1142" style="width:0;height:1.5pt" o:hralign="center" o:hrstd="t" o:hr="t" fillcolor="#a0a0a0" stroked="f"/>
        </w:pict>
      </w:r>
    </w:p>
    <w:p w14:paraId="5BD9A45A" w14:textId="77777777" w:rsidR="00E41D11" w:rsidRPr="00E41D11" w:rsidRDefault="00E41D11" w:rsidP="00E41D11">
      <w:pPr>
        <w:rPr>
          <w:b/>
          <w:bCs/>
          <w:lang w:val="en-PK"/>
        </w:rPr>
      </w:pPr>
      <w:r w:rsidRPr="00E41D11">
        <w:rPr>
          <w:b/>
          <w:bCs/>
          <w:lang w:val="en-PK"/>
        </w:rPr>
        <w:t>2. Term</w:t>
      </w:r>
    </w:p>
    <w:p w14:paraId="4782FF37" w14:textId="77777777" w:rsidR="00E41D11" w:rsidRPr="00E41D11" w:rsidRDefault="00E41D11" w:rsidP="00E41D11">
      <w:pPr>
        <w:rPr>
          <w:b/>
          <w:bCs/>
          <w:lang w:val="en-PK"/>
        </w:rPr>
      </w:pPr>
      <w:r w:rsidRPr="00E41D11">
        <w:rPr>
          <w:b/>
          <w:bCs/>
          <w:lang w:val="en-PK"/>
        </w:rPr>
        <w:t>This Agreement shall commence on the Effective Date and remain in effect for an initial term of seven (7) years.</w:t>
      </w:r>
    </w:p>
    <w:p w14:paraId="0785B7C0" w14:textId="77777777" w:rsidR="00E41D11" w:rsidRPr="00E41D11" w:rsidRDefault="00E41D11" w:rsidP="00E41D11">
      <w:pPr>
        <w:rPr>
          <w:b/>
          <w:bCs/>
          <w:lang w:val="en-PK"/>
        </w:rPr>
      </w:pPr>
      <w:r w:rsidRPr="00E41D11">
        <w:rPr>
          <w:b/>
          <w:bCs/>
          <w:lang w:val="en-PK"/>
        </w:rPr>
        <w:t>Thereafter, the Agreement shall automatically renew for successive seven-year terms unless Client provides written notice of non-renewal no less than twelve (12) months prior to expiration.</w:t>
      </w:r>
    </w:p>
    <w:p w14:paraId="2FE70144" w14:textId="77777777" w:rsidR="00E41D11" w:rsidRPr="00E41D11" w:rsidRDefault="00E41D11" w:rsidP="00E41D11">
      <w:pPr>
        <w:rPr>
          <w:b/>
          <w:bCs/>
          <w:lang w:val="en-PK"/>
        </w:rPr>
      </w:pPr>
      <w:r w:rsidRPr="00E41D11">
        <w:rPr>
          <w:b/>
          <w:bCs/>
          <w:lang w:val="en-PK"/>
        </w:rPr>
        <w:pict w14:anchorId="016A6E8F">
          <v:rect id="_x0000_i1143" style="width:0;height:1.5pt" o:hralign="center" o:hrstd="t" o:hr="t" fillcolor="#a0a0a0" stroked="f"/>
        </w:pict>
      </w:r>
    </w:p>
    <w:p w14:paraId="4C28503D" w14:textId="77777777" w:rsidR="00E41D11" w:rsidRPr="00E41D11" w:rsidRDefault="00E41D11" w:rsidP="00E41D11">
      <w:pPr>
        <w:rPr>
          <w:b/>
          <w:bCs/>
          <w:lang w:val="en-PK"/>
        </w:rPr>
      </w:pPr>
      <w:r w:rsidRPr="00E41D11">
        <w:rPr>
          <w:b/>
          <w:bCs/>
          <w:lang w:val="en-PK"/>
        </w:rPr>
        <w:t>3. Fees &amp; Adjustments</w:t>
      </w:r>
    </w:p>
    <w:p w14:paraId="419B1963" w14:textId="77777777" w:rsidR="00E41D11" w:rsidRPr="00E41D11" w:rsidRDefault="00E41D11" w:rsidP="00E41D11">
      <w:pPr>
        <w:rPr>
          <w:b/>
          <w:bCs/>
          <w:lang w:val="en-PK"/>
        </w:rPr>
      </w:pPr>
      <w:r w:rsidRPr="00E41D11">
        <w:rPr>
          <w:b/>
          <w:bCs/>
          <w:lang w:val="en-PK"/>
        </w:rPr>
        <w:t>Client shall pay an annual service fee of USD 250,000, payable quarterly in advance.</w:t>
      </w:r>
    </w:p>
    <w:p w14:paraId="7629D403" w14:textId="77777777" w:rsidR="00E41D11" w:rsidRPr="00E41D11" w:rsidRDefault="00E41D11" w:rsidP="00E41D11">
      <w:pPr>
        <w:rPr>
          <w:b/>
          <w:bCs/>
          <w:lang w:val="en-PK"/>
        </w:rPr>
      </w:pPr>
      <w:r w:rsidRPr="00E41D11">
        <w:rPr>
          <w:b/>
          <w:bCs/>
          <w:lang w:val="en-PK"/>
        </w:rPr>
        <w:t>Provider may revise fees annually to reflect inflation, infrastructure expansion, regulatory compliance requirements, technological upgrades, or market conditions upon sixty (60) days written notice.</w:t>
      </w:r>
    </w:p>
    <w:p w14:paraId="3DB76A41" w14:textId="77777777" w:rsidR="00E41D11" w:rsidRPr="00E41D11" w:rsidRDefault="00E41D11" w:rsidP="00E41D11">
      <w:pPr>
        <w:rPr>
          <w:b/>
          <w:bCs/>
          <w:lang w:val="en-PK"/>
        </w:rPr>
      </w:pPr>
      <w:r w:rsidRPr="00E41D11">
        <w:rPr>
          <w:b/>
          <w:bCs/>
          <w:lang w:val="en-PK"/>
        </w:rPr>
        <w:t>Failure to remit payment within fifteen (15) days of due date shall result in service suspension at Provider’s discretion.</w:t>
      </w:r>
    </w:p>
    <w:p w14:paraId="4074207F" w14:textId="77777777" w:rsidR="00E41D11" w:rsidRPr="00E41D11" w:rsidRDefault="00E41D11" w:rsidP="00E41D11">
      <w:pPr>
        <w:rPr>
          <w:b/>
          <w:bCs/>
          <w:lang w:val="en-PK"/>
        </w:rPr>
      </w:pPr>
      <w:r w:rsidRPr="00E41D11">
        <w:rPr>
          <w:b/>
          <w:bCs/>
          <w:lang w:val="en-PK"/>
        </w:rPr>
        <w:pict w14:anchorId="6B201FF7">
          <v:rect id="_x0000_i1144" style="width:0;height:1.5pt" o:hralign="center" o:hrstd="t" o:hr="t" fillcolor="#a0a0a0" stroked="f"/>
        </w:pict>
      </w:r>
    </w:p>
    <w:p w14:paraId="420F7CA8" w14:textId="77777777" w:rsidR="00E41D11" w:rsidRPr="00E41D11" w:rsidRDefault="00E41D11" w:rsidP="00E41D11">
      <w:pPr>
        <w:rPr>
          <w:b/>
          <w:bCs/>
          <w:lang w:val="en-PK"/>
        </w:rPr>
      </w:pPr>
      <w:r w:rsidRPr="00E41D11">
        <w:rPr>
          <w:b/>
          <w:bCs/>
          <w:lang w:val="en-PK"/>
        </w:rPr>
        <w:lastRenderedPageBreak/>
        <w:t>4. Intellectual Property &amp; Enhancements</w:t>
      </w:r>
    </w:p>
    <w:p w14:paraId="672E0EAC" w14:textId="77777777" w:rsidR="00E41D11" w:rsidRPr="00E41D11" w:rsidRDefault="00E41D11" w:rsidP="00E41D11">
      <w:pPr>
        <w:rPr>
          <w:b/>
          <w:bCs/>
          <w:lang w:val="en-PK"/>
        </w:rPr>
      </w:pPr>
      <w:r w:rsidRPr="00E41D11">
        <w:rPr>
          <w:b/>
          <w:bCs/>
          <w:lang w:val="en-PK"/>
        </w:rPr>
        <w:t>All software, configurations, custom developments, process improvements, derivative works, feedback, performance insights, and enhancements created during the term of this Agreement shall be the sole and exclusive property of Provider.</w:t>
      </w:r>
    </w:p>
    <w:p w14:paraId="6CF5CDEC" w14:textId="77777777" w:rsidR="00E41D11" w:rsidRPr="00E41D11" w:rsidRDefault="00E41D11" w:rsidP="00E41D11">
      <w:pPr>
        <w:rPr>
          <w:b/>
          <w:bCs/>
          <w:lang w:val="en-PK"/>
        </w:rPr>
      </w:pPr>
      <w:r w:rsidRPr="00E41D11">
        <w:rPr>
          <w:b/>
          <w:bCs/>
          <w:lang w:val="en-PK"/>
        </w:rPr>
        <w:t>Client hereby irrevocably assigns any rights it may acquire in such developments to Provider.</w:t>
      </w:r>
    </w:p>
    <w:p w14:paraId="2CE9D717" w14:textId="77777777" w:rsidR="00E41D11" w:rsidRPr="00E41D11" w:rsidRDefault="00E41D11" w:rsidP="00E41D11">
      <w:pPr>
        <w:rPr>
          <w:b/>
          <w:bCs/>
          <w:lang w:val="en-PK"/>
        </w:rPr>
      </w:pPr>
      <w:r w:rsidRPr="00E41D11">
        <w:rPr>
          <w:b/>
          <w:bCs/>
          <w:lang w:val="en-PK"/>
        </w:rPr>
        <w:pict w14:anchorId="4A773387">
          <v:rect id="_x0000_i1145" style="width:0;height:1.5pt" o:hralign="center" o:hrstd="t" o:hr="t" fillcolor="#a0a0a0" stroked="f"/>
        </w:pict>
      </w:r>
    </w:p>
    <w:p w14:paraId="21ED46AE" w14:textId="77777777" w:rsidR="00E41D11" w:rsidRPr="00E41D11" w:rsidRDefault="00E41D11" w:rsidP="00E41D11">
      <w:pPr>
        <w:rPr>
          <w:b/>
          <w:bCs/>
          <w:lang w:val="en-PK"/>
        </w:rPr>
      </w:pPr>
      <w:r w:rsidRPr="00E41D11">
        <w:rPr>
          <w:b/>
          <w:bCs/>
          <w:lang w:val="en-PK"/>
        </w:rPr>
        <w:t>5. Data Rights</w:t>
      </w:r>
    </w:p>
    <w:p w14:paraId="26BD32F7" w14:textId="77777777" w:rsidR="00E41D11" w:rsidRPr="00E41D11" w:rsidRDefault="00E41D11" w:rsidP="00E41D11">
      <w:pPr>
        <w:rPr>
          <w:b/>
          <w:bCs/>
          <w:lang w:val="en-PK"/>
        </w:rPr>
      </w:pPr>
      <w:r w:rsidRPr="00E41D11">
        <w:rPr>
          <w:b/>
          <w:bCs/>
          <w:lang w:val="en-PK"/>
        </w:rPr>
        <w:t>Client retains ownership of raw data submitted to the system.</w:t>
      </w:r>
    </w:p>
    <w:p w14:paraId="4358F895" w14:textId="77777777" w:rsidR="00E41D11" w:rsidRPr="00E41D11" w:rsidRDefault="00E41D11" w:rsidP="00E41D11">
      <w:pPr>
        <w:rPr>
          <w:b/>
          <w:bCs/>
          <w:lang w:val="en-PK"/>
        </w:rPr>
      </w:pPr>
      <w:r w:rsidRPr="00E41D11">
        <w:rPr>
          <w:b/>
          <w:bCs/>
          <w:lang w:val="en-PK"/>
        </w:rPr>
        <w:t>However, Provider shall have a perpetual, royalty-free, worldwide license to use, analyze, modify, commercialize, and sublicense aggregated or derived data for business, research, benchmarking, or commercial purposes.</w:t>
      </w:r>
    </w:p>
    <w:p w14:paraId="47455793" w14:textId="77777777" w:rsidR="00E41D11" w:rsidRPr="00E41D11" w:rsidRDefault="00E41D11" w:rsidP="00E41D11">
      <w:pPr>
        <w:rPr>
          <w:b/>
          <w:bCs/>
          <w:lang w:val="en-PK"/>
        </w:rPr>
      </w:pPr>
      <w:r w:rsidRPr="00E41D11">
        <w:rPr>
          <w:b/>
          <w:bCs/>
          <w:lang w:val="en-PK"/>
        </w:rPr>
        <w:pict w14:anchorId="5A009D87">
          <v:rect id="_x0000_i1146" style="width:0;height:1.5pt" o:hralign="center" o:hrstd="t" o:hr="t" fillcolor="#a0a0a0" stroked="f"/>
        </w:pict>
      </w:r>
    </w:p>
    <w:p w14:paraId="4A3D8E60" w14:textId="77777777" w:rsidR="00E41D11" w:rsidRPr="00E41D11" w:rsidRDefault="00E41D11" w:rsidP="00E41D11">
      <w:pPr>
        <w:rPr>
          <w:b/>
          <w:bCs/>
          <w:lang w:val="en-PK"/>
        </w:rPr>
      </w:pPr>
      <w:r w:rsidRPr="00E41D11">
        <w:rPr>
          <w:b/>
          <w:bCs/>
          <w:lang w:val="en-PK"/>
        </w:rPr>
        <w:t>6. Exclusivity</w:t>
      </w:r>
    </w:p>
    <w:p w14:paraId="368BC8E6" w14:textId="77777777" w:rsidR="00E41D11" w:rsidRPr="00E41D11" w:rsidRDefault="00E41D11" w:rsidP="00E41D11">
      <w:pPr>
        <w:rPr>
          <w:b/>
          <w:bCs/>
          <w:lang w:val="en-PK"/>
        </w:rPr>
      </w:pPr>
      <w:r w:rsidRPr="00E41D11">
        <w:rPr>
          <w:b/>
          <w:bCs/>
          <w:lang w:val="en-PK"/>
        </w:rPr>
        <w:t>During the term of this Agreement and for five (5) years thereafter, Client shall not engage any third party for substantially similar enterprise optimization services without Provider’s prior written consent.</w:t>
      </w:r>
    </w:p>
    <w:p w14:paraId="2BA6F918" w14:textId="77777777" w:rsidR="00E41D11" w:rsidRPr="00E41D11" w:rsidRDefault="00E41D11" w:rsidP="00E41D11">
      <w:pPr>
        <w:rPr>
          <w:b/>
          <w:bCs/>
          <w:lang w:val="en-PK"/>
        </w:rPr>
      </w:pPr>
      <w:r w:rsidRPr="00E41D11">
        <w:rPr>
          <w:b/>
          <w:bCs/>
          <w:lang w:val="en-PK"/>
        </w:rPr>
        <w:pict w14:anchorId="64A83BED">
          <v:rect id="_x0000_i1147" style="width:0;height:1.5pt" o:hralign="center" o:hrstd="t" o:hr="t" fillcolor="#a0a0a0" stroked="f"/>
        </w:pict>
      </w:r>
    </w:p>
    <w:p w14:paraId="3FAEE9E2" w14:textId="77777777" w:rsidR="00E41D11" w:rsidRPr="00E41D11" w:rsidRDefault="00E41D11" w:rsidP="00E41D11">
      <w:pPr>
        <w:rPr>
          <w:b/>
          <w:bCs/>
          <w:lang w:val="en-PK"/>
        </w:rPr>
      </w:pPr>
      <w:r w:rsidRPr="00E41D11">
        <w:rPr>
          <w:b/>
          <w:bCs/>
          <w:lang w:val="en-PK"/>
        </w:rPr>
        <w:t>7. Indemnification</w:t>
      </w:r>
    </w:p>
    <w:p w14:paraId="344F469D" w14:textId="77777777" w:rsidR="00E41D11" w:rsidRPr="00E41D11" w:rsidRDefault="00E41D11" w:rsidP="00E41D11">
      <w:pPr>
        <w:rPr>
          <w:b/>
          <w:bCs/>
          <w:lang w:val="en-PK"/>
        </w:rPr>
      </w:pPr>
      <w:r w:rsidRPr="00E41D11">
        <w:rPr>
          <w:b/>
          <w:bCs/>
          <w:lang w:val="en-PK"/>
        </w:rPr>
        <w:t>Client agrees to indemnify, defend, and hold harmless Provider and its affiliates against any and all claims, damages, penalties, regulatory actions, and costs (including attorney fees) arising directly or indirectly from:</w:t>
      </w:r>
    </w:p>
    <w:p w14:paraId="6054C1C3" w14:textId="77777777" w:rsidR="00E41D11" w:rsidRPr="00E41D11" w:rsidRDefault="00E41D11" w:rsidP="00E41D11">
      <w:pPr>
        <w:numPr>
          <w:ilvl w:val="0"/>
          <w:numId w:val="2"/>
        </w:numPr>
        <w:rPr>
          <w:b/>
          <w:bCs/>
          <w:lang w:val="en-PK"/>
        </w:rPr>
      </w:pPr>
      <w:r w:rsidRPr="00E41D11">
        <w:rPr>
          <w:b/>
          <w:bCs/>
          <w:lang w:val="en-PK"/>
        </w:rPr>
        <w:t>Implementation of recommendations</w:t>
      </w:r>
    </w:p>
    <w:p w14:paraId="2E9A2FAE" w14:textId="77777777" w:rsidR="00E41D11" w:rsidRPr="00E41D11" w:rsidRDefault="00E41D11" w:rsidP="00E41D11">
      <w:pPr>
        <w:numPr>
          <w:ilvl w:val="0"/>
          <w:numId w:val="2"/>
        </w:numPr>
        <w:rPr>
          <w:b/>
          <w:bCs/>
          <w:lang w:val="en-PK"/>
        </w:rPr>
      </w:pPr>
      <w:r w:rsidRPr="00E41D11">
        <w:rPr>
          <w:b/>
          <w:bCs/>
          <w:lang w:val="en-PK"/>
        </w:rPr>
        <w:t>Operational decisions made using Provider’s outputs</w:t>
      </w:r>
    </w:p>
    <w:p w14:paraId="6C23F7E1" w14:textId="77777777" w:rsidR="00E41D11" w:rsidRPr="00E41D11" w:rsidRDefault="00E41D11" w:rsidP="00E41D11">
      <w:pPr>
        <w:numPr>
          <w:ilvl w:val="0"/>
          <w:numId w:val="2"/>
        </w:numPr>
        <w:rPr>
          <w:b/>
          <w:bCs/>
          <w:lang w:val="en-PK"/>
        </w:rPr>
      </w:pPr>
      <w:r w:rsidRPr="00E41D11">
        <w:rPr>
          <w:b/>
          <w:bCs/>
          <w:lang w:val="en-PK"/>
        </w:rPr>
        <w:t>Compliance or regulatory reviews involving Client’s business practices</w:t>
      </w:r>
    </w:p>
    <w:p w14:paraId="3AE9727E" w14:textId="77777777" w:rsidR="00E41D11" w:rsidRPr="00E41D11" w:rsidRDefault="00E41D11" w:rsidP="00E41D11">
      <w:pPr>
        <w:rPr>
          <w:b/>
          <w:bCs/>
          <w:lang w:val="en-PK"/>
        </w:rPr>
      </w:pPr>
      <w:r w:rsidRPr="00E41D11">
        <w:rPr>
          <w:b/>
          <w:bCs/>
          <w:lang w:val="en-PK"/>
        </w:rPr>
        <w:t>This indemnity shall survive termination indefinitely.</w:t>
      </w:r>
    </w:p>
    <w:p w14:paraId="28DA1A13" w14:textId="77777777" w:rsidR="00E41D11" w:rsidRPr="00E41D11" w:rsidRDefault="00E41D11" w:rsidP="00E41D11">
      <w:pPr>
        <w:rPr>
          <w:b/>
          <w:bCs/>
          <w:lang w:val="en-PK"/>
        </w:rPr>
      </w:pPr>
      <w:r w:rsidRPr="00E41D11">
        <w:rPr>
          <w:b/>
          <w:bCs/>
          <w:lang w:val="en-PK"/>
        </w:rPr>
        <w:pict w14:anchorId="250FE4EA">
          <v:rect id="_x0000_i1148" style="width:0;height:1.5pt" o:hralign="center" o:hrstd="t" o:hr="t" fillcolor="#a0a0a0" stroked="f"/>
        </w:pict>
      </w:r>
    </w:p>
    <w:p w14:paraId="52271D9F" w14:textId="77777777" w:rsidR="00E41D11" w:rsidRPr="00E41D11" w:rsidRDefault="00E41D11" w:rsidP="00E41D11">
      <w:pPr>
        <w:rPr>
          <w:b/>
          <w:bCs/>
          <w:lang w:val="en-PK"/>
        </w:rPr>
      </w:pPr>
      <w:r w:rsidRPr="00E41D11">
        <w:rPr>
          <w:b/>
          <w:bCs/>
          <w:lang w:val="en-PK"/>
        </w:rPr>
        <w:t>8. Limitation of Liability</w:t>
      </w:r>
    </w:p>
    <w:p w14:paraId="41A84AFB" w14:textId="77777777" w:rsidR="00E41D11" w:rsidRPr="00E41D11" w:rsidRDefault="00E41D11" w:rsidP="00E41D11">
      <w:pPr>
        <w:rPr>
          <w:b/>
          <w:bCs/>
          <w:lang w:val="en-PK"/>
        </w:rPr>
      </w:pPr>
      <w:r w:rsidRPr="00E41D11">
        <w:rPr>
          <w:b/>
          <w:bCs/>
          <w:lang w:val="en-PK"/>
        </w:rPr>
        <w:t>Provider’s total aggregate liability under this Agreement shall not exceed the total fees paid by Client during the preceding six (6) months.</w:t>
      </w:r>
    </w:p>
    <w:p w14:paraId="70516070" w14:textId="77777777" w:rsidR="00E41D11" w:rsidRPr="00E41D11" w:rsidRDefault="00E41D11" w:rsidP="00E41D11">
      <w:pPr>
        <w:rPr>
          <w:b/>
          <w:bCs/>
          <w:lang w:val="en-PK"/>
        </w:rPr>
      </w:pPr>
      <w:r w:rsidRPr="00E41D11">
        <w:rPr>
          <w:b/>
          <w:bCs/>
          <w:lang w:val="en-PK"/>
        </w:rPr>
        <w:lastRenderedPageBreak/>
        <w:t>Under no circumstances shall Provider be liable for indirect, incidental, consequential, reputational, business interruption, or lost profit damages, regardless of cause.</w:t>
      </w:r>
    </w:p>
    <w:p w14:paraId="7CEDA00B" w14:textId="77777777" w:rsidR="00E41D11" w:rsidRPr="00E41D11" w:rsidRDefault="00E41D11" w:rsidP="00E41D11">
      <w:pPr>
        <w:rPr>
          <w:b/>
          <w:bCs/>
          <w:lang w:val="en-PK"/>
        </w:rPr>
      </w:pPr>
      <w:r w:rsidRPr="00E41D11">
        <w:rPr>
          <w:b/>
          <w:bCs/>
          <w:lang w:val="en-PK"/>
        </w:rPr>
        <w:pict w14:anchorId="6DCDBB79">
          <v:rect id="_x0000_i1149" style="width:0;height:1.5pt" o:hralign="center" o:hrstd="t" o:hr="t" fillcolor="#a0a0a0" stroked="f"/>
        </w:pict>
      </w:r>
    </w:p>
    <w:p w14:paraId="4321D3D6" w14:textId="77777777" w:rsidR="00E41D11" w:rsidRPr="00E41D11" w:rsidRDefault="00E41D11" w:rsidP="00E41D11">
      <w:pPr>
        <w:rPr>
          <w:b/>
          <w:bCs/>
          <w:lang w:val="en-PK"/>
        </w:rPr>
      </w:pPr>
      <w:r w:rsidRPr="00E41D11">
        <w:rPr>
          <w:b/>
          <w:bCs/>
          <w:lang w:val="en-PK"/>
        </w:rPr>
        <w:t>9. Termination</w:t>
      </w:r>
    </w:p>
    <w:p w14:paraId="03C88CBE" w14:textId="77777777" w:rsidR="00E41D11" w:rsidRPr="00E41D11" w:rsidRDefault="00E41D11" w:rsidP="00E41D11">
      <w:pPr>
        <w:rPr>
          <w:b/>
          <w:bCs/>
          <w:lang w:val="en-PK"/>
        </w:rPr>
      </w:pPr>
      <w:r w:rsidRPr="00E41D11">
        <w:rPr>
          <w:b/>
          <w:bCs/>
          <w:lang w:val="en-PK"/>
        </w:rPr>
        <w:t>Either party may terminate for material breach if such breach remains uncured for thirty (30) days following notice.</w:t>
      </w:r>
    </w:p>
    <w:p w14:paraId="3FCBF9E3" w14:textId="77777777" w:rsidR="00E41D11" w:rsidRPr="00E41D11" w:rsidRDefault="00E41D11" w:rsidP="00E41D11">
      <w:pPr>
        <w:rPr>
          <w:b/>
          <w:bCs/>
          <w:lang w:val="en-PK"/>
        </w:rPr>
      </w:pPr>
      <w:r w:rsidRPr="00E41D11">
        <w:rPr>
          <w:b/>
          <w:bCs/>
          <w:lang w:val="en-PK"/>
        </w:rPr>
        <w:t>In the event Client elects to terminate for convenience, restructures operations, undergoes change of control, or reduces service scope, all remaining fees for the full initial or renewal term shall become immediately due and payable.</w:t>
      </w:r>
    </w:p>
    <w:p w14:paraId="0F3E6165" w14:textId="77777777" w:rsidR="00E41D11" w:rsidRPr="00E41D11" w:rsidRDefault="00E41D11" w:rsidP="00E41D11">
      <w:pPr>
        <w:rPr>
          <w:b/>
          <w:bCs/>
          <w:lang w:val="en-PK"/>
        </w:rPr>
      </w:pPr>
      <w:r w:rsidRPr="00E41D11">
        <w:rPr>
          <w:b/>
          <w:bCs/>
          <w:lang w:val="en-PK"/>
        </w:rPr>
        <w:t>Upon termination, access to the platform shall cease immediately. Data exports shall be provided in Provider’s standard format upon written request submitted within ten (10) days of termination.</w:t>
      </w:r>
    </w:p>
    <w:p w14:paraId="672B10B1" w14:textId="77777777" w:rsidR="00E41D11" w:rsidRPr="00E41D11" w:rsidRDefault="00E41D11" w:rsidP="00E41D11">
      <w:pPr>
        <w:rPr>
          <w:b/>
          <w:bCs/>
          <w:lang w:val="en-PK"/>
        </w:rPr>
      </w:pPr>
      <w:r w:rsidRPr="00E41D11">
        <w:rPr>
          <w:b/>
          <w:bCs/>
          <w:lang w:val="en-PK"/>
        </w:rPr>
        <w:pict w14:anchorId="089E0254">
          <v:rect id="_x0000_i1150" style="width:0;height:1.5pt" o:hralign="center" o:hrstd="t" o:hr="t" fillcolor="#a0a0a0" stroked="f"/>
        </w:pict>
      </w:r>
    </w:p>
    <w:p w14:paraId="7A2C4E8F" w14:textId="77777777" w:rsidR="00E41D11" w:rsidRPr="00E41D11" w:rsidRDefault="00E41D11" w:rsidP="00E41D11">
      <w:pPr>
        <w:rPr>
          <w:b/>
          <w:bCs/>
          <w:lang w:val="en-PK"/>
        </w:rPr>
      </w:pPr>
      <w:r w:rsidRPr="00E41D11">
        <w:rPr>
          <w:b/>
          <w:bCs/>
          <w:lang w:val="en-PK"/>
        </w:rPr>
        <w:t>10. Assignment</w:t>
      </w:r>
    </w:p>
    <w:p w14:paraId="10CEB23F" w14:textId="77777777" w:rsidR="00E41D11" w:rsidRPr="00E41D11" w:rsidRDefault="00E41D11" w:rsidP="00E41D11">
      <w:pPr>
        <w:rPr>
          <w:b/>
          <w:bCs/>
          <w:lang w:val="en-PK"/>
        </w:rPr>
      </w:pPr>
      <w:r w:rsidRPr="00E41D11">
        <w:rPr>
          <w:b/>
          <w:bCs/>
          <w:lang w:val="en-PK"/>
        </w:rPr>
        <w:t>Provider may assign or transfer this Agreement, in whole or in part, to any affiliate, successor, or third party without Client consent.</w:t>
      </w:r>
    </w:p>
    <w:p w14:paraId="6498DCBF" w14:textId="77777777" w:rsidR="00E41D11" w:rsidRPr="00E41D11" w:rsidRDefault="00E41D11" w:rsidP="00E41D11">
      <w:pPr>
        <w:rPr>
          <w:b/>
          <w:bCs/>
          <w:lang w:val="en-PK"/>
        </w:rPr>
      </w:pPr>
      <w:r w:rsidRPr="00E41D11">
        <w:rPr>
          <w:b/>
          <w:bCs/>
          <w:lang w:val="en-PK"/>
        </w:rPr>
        <w:t>Client may not assign this Agreement without Provider’s prior written approval.</w:t>
      </w:r>
    </w:p>
    <w:p w14:paraId="57597EA0" w14:textId="77777777" w:rsidR="00E41D11" w:rsidRPr="00E41D11" w:rsidRDefault="00E41D11" w:rsidP="00E41D11">
      <w:pPr>
        <w:rPr>
          <w:b/>
          <w:bCs/>
          <w:lang w:val="en-PK"/>
        </w:rPr>
      </w:pPr>
      <w:r w:rsidRPr="00E41D11">
        <w:rPr>
          <w:b/>
          <w:bCs/>
          <w:lang w:val="en-PK"/>
        </w:rPr>
        <w:pict w14:anchorId="30CBFD40">
          <v:rect id="_x0000_i1151" style="width:0;height:1.5pt" o:hralign="center" o:hrstd="t" o:hr="t" fillcolor="#a0a0a0" stroked="f"/>
        </w:pict>
      </w:r>
    </w:p>
    <w:p w14:paraId="1F5BA7E7" w14:textId="77777777" w:rsidR="00E41D11" w:rsidRPr="00E41D11" w:rsidRDefault="00E41D11" w:rsidP="00E41D11">
      <w:pPr>
        <w:rPr>
          <w:b/>
          <w:bCs/>
          <w:lang w:val="en-PK"/>
        </w:rPr>
      </w:pPr>
      <w:r w:rsidRPr="00E41D11">
        <w:rPr>
          <w:b/>
          <w:bCs/>
          <w:lang w:val="en-PK"/>
        </w:rPr>
        <w:t>11. Governing Law &amp; Dispute Resolution</w:t>
      </w:r>
    </w:p>
    <w:p w14:paraId="1A45125A" w14:textId="77777777" w:rsidR="00E41D11" w:rsidRPr="00E41D11" w:rsidRDefault="00E41D11" w:rsidP="00E41D11">
      <w:pPr>
        <w:rPr>
          <w:b/>
          <w:bCs/>
          <w:lang w:val="en-PK"/>
        </w:rPr>
      </w:pPr>
      <w:r w:rsidRPr="00E41D11">
        <w:rPr>
          <w:b/>
          <w:bCs/>
          <w:lang w:val="en-PK"/>
        </w:rPr>
        <w:t>This Agreement shall be governed exclusively by the laws of Valeris.</w:t>
      </w:r>
    </w:p>
    <w:p w14:paraId="66DDBA78" w14:textId="77777777" w:rsidR="00E41D11" w:rsidRPr="00E41D11" w:rsidRDefault="00E41D11" w:rsidP="00E41D11">
      <w:pPr>
        <w:rPr>
          <w:b/>
          <w:bCs/>
          <w:lang w:val="en-PK"/>
        </w:rPr>
      </w:pPr>
      <w:r w:rsidRPr="00E41D11">
        <w:rPr>
          <w:b/>
          <w:bCs/>
          <w:lang w:val="en-PK"/>
        </w:rPr>
        <w:t>All disputes shall be resolved by confidential binding arbitration seated in Apex City, Valeris, conducted in the Valerian language under the rules of the Valeris Commercial Arbitration Board.</w:t>
      </w:r>
    </w:p>
    <w:p w14:paraId="5B96EE33" w14:textId="77777777" w:rsidR="00663A04" w:rsidRPr="00E41D11" w:rsidRDefault="00663A04" w:rsidP="00E41D11"/>
    <w:sectPr w:rsidR="00663A04" w:rsidRPr="00E41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1B5C"/>
    <w:multiLevelType w:val="multilevel"/>
    <w:tmpl w:val="B25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65C43"/>
    <w:multiLevelType w:val="multilevel"/>
    <w:tmpl w:val="8B96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527764">
    <w:abstractNumId w:val="0"/>
  </w:num>
  <w:num w:numId="2" w16cid:durableId="545528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6F"/>
    <w:rsid w:val="00055994"/>
    <w:rsid w:val="003D347D"/>
    <w:rsid w:val="00663A04"/>
    <w:rsid w:val="00902A6F"/>
    <w:rsid w:val="00B60B45"/>
    <w:rsid w:val="00C93B6A"/>
    <w:rsid w:val="00E41D11"/>
    <w:rsid w:val="00E43E6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532F"/>
  <w15:chartTrackingRefBased/>
  <w15:docId w15:val="{059F1370-C3C3-4AE7-AA98-3910904A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A6F"/>
    <w:rPr>
      <w:rFonts w:eastAsiaTheme="majorEastAsia" w:cstheme="majorBidi"/>
      <w:color w:val="272727" w:themeColor="text1" w:themeTint="D8"/>
    </w:rPr>
  </w:style>
  <w:style w:type="paragraph" w:styleId="Title">
    <w:name w:val="Title"/>
    <w:basedOn w:val="Normal"/>
    <w:next w:val="Normal"/>
    <w:link w:val="TitleChar"/>
    <w:uiPriority w:val="10"/>
    <w:qFormat/>
    <w:rsid w:val="00902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A6F"/>
    <w:pPr>
      <w:spacing w:before="160"/>
      <w:jc w:val="center"/>
    </w:pPr>
    <w:rPr>
      <w:i/>
      <w:iCs/>
      <w:color w:val="404040" w:themeColor="text1" w:themeTint="BF"/>
    </w:rPr>
  </w:style>
  <w:style w:type="character" w:customStyle="1" w:styleId="QuoteChar">
    <w:name w:val="Quote Char"/>
    <w:basedOn w:val="DefaultParagraphFont"/>
    <w:link w:val="Quote"/>
    <w:uiPriority w:val="29"/>
    <w:rsid w:val="00902A6F"/>
    <w:rPr>
      <w:i/>
      <w:iCs/>
      <w:color w:val="404040" w:themeColor="text1" w:themeTint="BF"/>
    </w:rPr>
  </w:style>
  <w:style w:type="paragraph" w:styleId="ListParagraph">
    <w:name w:val="List Paragraph"/>
    <w:basedOn w:val="Normal"/>
    <w:uiPriority w:val="34"/>
    <w:qFormat/>
    <w:rsid w:val="00902A6F"/>
    <w:pPr>
      <w:ind w:left="720"/>
      <w:contextualSpacing/>
    </w:pPr>
  </w:style>
  <w:style w:type="character" w:styleId="IntenseEmphasis">
    <w:name w:val="Intense Emphasis"/>
    <w:basedOn w:val="DefaultParagraphFont"/>
    <w:uiPriority w:val="21"/>
    <w:qFormat/>
    <w:rsid w:val="00902A6F"/>
    <w:rPr>
      <w:i/>
      <w:iCs/>
      <w:color w:val="0F4761" w:themeColor="accent1" w:themeShade="BF"/>
    </w:rPr>
  </w:style>
  <w:style w:type="paragraph" w:styleId="IntenseQuote">
    <w:name w:val="Intense Quote"/>
    <w:basedOn w:val="Normal"/>
    <w:next w:val="Normal"/>
    <w:link w:val="IntenseQuoteChar"/>
    <w:uiPriority w:val="30"/>
    <w:qFormat/>
    <w:rsid w:val="00902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A6F"/>
    <w:rPr>
      <w:i/>
      <w:iCs/>
      <w:color w:val="0F4761" w:themeColor="accent1" w:themeShade="BF"/>
    </w:rPr>
  </w:style>
  <w:style w:type="character" w:styleId="IntenseReference">
    <w:name w:val="Intense Reference"/>
    <w:basedOn w:val="DefaultParagraphFont"/>
    <w:uiPriority w:val="32"/>
    <w:qFormat/>
    <w:rsid w:val="00902A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(FA23-BAI-027) MUHAMMAD ARHAM TAHIR</dc:creator>
  <cp:keywords/>
  <dc:description/>
  <cp:lastModifiedBy>(FA23-BAI-027) MUHAMMAD ARHAM TAHIR</cp:lastModifiedBy>
  <cp:revision>4</cp:revision>
  <dcterms:created xsi:type="dcterms:W3CDTF">2026-03-01T12:36:00Z</dcterms:created>
  <dcterms:modified xsi:type="dcterms:W3CDTF">2026-03-01T14:07:00Z</dcterms:modified>
</cp:coreProperties>
</file>