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2F27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SOFTWARE LICENSING &amp; IMPLEMENTATION AGREEMENT</w:t>
      </w:r>
    </w:p>
    <w:p w14:paraId="2D29EA2C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This Software Licensing &amp; Implementation Agreement (“Agreement”) is entered into on March 1, 2026, by and between:</w:t>
      </w:r>
    </w:p>
    <w:p w14:paraId="3C096F54" w14:textId="77777777" w:rsidR="005F0F65" w:rsidRPr="005F0F65" w:rsidRDefault="005F0F65" w:rsidP="005F0F65">
      <w:pPr>
        <w:rPr>
          <w:b/>
          <w:bCs/>
          <w:lang w:val="en-PK"/>
        </w:rPr>
      </w:pPr>
      <w:proofErr w:type="spellStart"/>
      <w:r w:rsidRPr="005F0F65">
        <w:rPr>
          <w:b/>
          <w:bCs/>
          <w:lang w:val="en-PK"/>
        </w:rPr>
        <w:t>AetherGrid</w:t>
      </w:r>
      <w:proofErr w:type="spellEnd"/>
      <w:r w:rsidRPr="005F0F65">
        <w:rPr>
          <w:b/>
          <w:bCs/>
          <w:lang w:val="en-PK"/>
        </w:rPr>
        <w:t xml:space="preserve"> Systems Inc., a technology company incorporated under the laws of </w:t>
      </w:r>
      <w:proofErr w:type="spellStart"/>
      <w:r w:rsidRPr="005F0F65">
        <w:rPr>
          <w:b/>
          <w:bCs/>
          <w:lang w:val="en-PK"/>
        </w:rPr>
        <w:t>Norvale</w:t>
      </w:r>
      <w:proofErr w:type="spellEnd"/>
      <w:r w:rsidRPr="005F0F65">
        <w:rPr>
          <w:b/>
          <w:bCs/>
          <w:lang w:val="en-PK"/>
        </w:rPr>
        <w:t>, with its principal office at 45 Polaris Avenue, Silver District (“Vendor”),</w:t>
      </w:r>
    </w:p>
    <w:p w14:paraId="5100BF15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AND</w:t>
      </w:r>
    </w:p>
    <w:p w14:paraId="24AF731B" w14:textId="77777777" w:rsidR="005F0F65" w:rsidRPr="005F0F65" w:rsidRDefault="005F0F65" w:rsidP="005F0F65">
      <w:pPr>
        <w:rPr>
          <w:b/>
          <w:bCs/>
          <w:lang w:val="en-PK"/>
        </w:rPr>
      </w:pPr>
      <w:proofErr w:type="spellStart"/>
      <w:r w:rsidRPr="005F0F65">
        <w:rPr>
          <w:b/>
          <w:bCs/>
          <w:lang w:val="en-PK"/>
        </w:rPr>
        <w:t>SummitPeak</w:t>
      </w:r>
      <w:proofErr w:type="spellEnd"/>
      <w:r w:rsidRPr="005F0F65">
        <w:rPr>
          <w:b/>
          <w:bCs/>
          <w:lang w:val="en-PK"/>
        </w:rPr>
        <w:t xml:space="preserve"> Logistics Co., a freight and supply chain company incorporated under the laws of Darsen, with offices at 210 Transit Way, East Corridor (“Client”).</w:t>
      </w:r>
    </w:p>
    <w:p w14:paraId="79DF8A8D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pict w14:anchorId="6AB277D3">
          <v:rect id="_x0000_i1465" style="width:0;height:1.5pt" o:hralign="center" o:hrstd="t" o:hr="t" fillcolor="#a0a0a0" stroked="f"/>
        </w:pict>
      </w:r>
    </w:p>
    <w:p w14:paraId="0FD348D3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1. Purpose</w:t>
      </w:r>
    </w:p>
    <w:p w14:paraId="379D7509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Vendor agrees to license its proprietary logistics optimization platform (“Platform”) and provide onboarding, configuration, and maintenance services to Client.</w:t>
      </w:r>
    </w:p>
    <w:p w14:paraId="2E9F9E75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pict w14:anchorId="5BABC506">
          <v:rect id="_x0000_i1466" style="width:0;height:1.5pt" o:hralign="center" o:hrstd="t" o:hr="t" fillcolor="#a0a0a0" stroked="f"/>
        </w:pict>
      </w:r>
    </w:p>
    <w:p w14:paraId="3C8EAD38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2. License Grant</w:t>
      </w:r>
    </w:p>
    <w:p w14:paraId="48981875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Vendor grants Client a non-exclusive, non-transferable license to access and use the Platform for internal business operations.</w:t>
      </w:r>
    </w:p>
    <w:p w14:paraId="0DEF158D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The Platform and all associated updates, modifications, improvements, and configurations remain the sole intellectual property of Vendor.</w:t>
      </w:r>
    </w:p>
    <w:p w14:paraId="281A7BEB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pict w14:anchorId="67B25C2E">
          <v:rect id="_x0000_i1467" style="width:0;height:1.5pt" o:hralign="center" o:hrstd="t" o:hr="t" fillcolor="#a0a0a0" stroked="f"/>
        </w:pict>
      </w:r>
    </w:p>
    <w:p w14:paraId="1B10BAF8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3. Implementation</w:t>
      </w:r>
    </w:p>
    <w:p w14:paraId="6BE17257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Vendor shall provide onboarding support and configure the Platform based on Client’s operational requirements as provided in writing.</w:t>
      </w:r>
    </w:p>
    <w:p w14:paraId="42EC60ED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Client acknowledges that final system configuration shall reflect Vendor’s standardized deployment model.</w:t>
      </w:r>
    </w:p>
    <w:p w14:paraId="014F3E8A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pict w14:anchorId="40874B38">
          <v:rect id="_x0000_i1468" style="width:0;height:1.5pt" o:hralign="center" o:hrstd="t" o:hr="t" fillcolor="#a0a0a0" stroked="f"/>
        </w:pict>
      </w:r>
    </w:p>
    <w:p w14:paraId="581EF0D3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4. Fees</w:t>
      </w:r>
    </w:p>
    <w:p w14:paraId="3609AD70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Client agrees to pay:</w:t>
      </w:r>
    </w:p>
    <w:p w14:paraId="2C4F7E60" w14:textId="77777777" w:rsidR="005F0F65" w:rsidRPr="005F0F65" w:rsidRDefault="005F0F65" w:rsidP="005F0F65">
      <w:pPr>
        <w:numPr>
          <w:ilvl w:val="0"/>
          <w:numId w:val="3"/>
        </w:numPr>
        <w:rPr>
          <w:b/>
          <w:bCs/>
          <w:lang w:val="en-PK"/>
        </w:rPr>
      </w:pPr>
      <w:r w:rsidRPr="005F0F65">
        <w:rPr>
          <w:b/>
          <w:bCs/>
          <w:lang w:val="en-PK"/>
        </w:rPr>
        <w:t>Initial implementation fee: USD 75,000</w:t>
      </w:r>
    </w:p>
    <w:p w14:paraId="00AFF6CE" w14:textId="77777777" w:rsidR="005F0F65" w:rsidRPr="005F0F65" w:rsidRDefault="005F0F65" w:rsidP="005F0F65">
      <w:pPr>
        <w:numPr>
          <w:ilvl w:val="0"/>
          <w:numId w:val="3"/>
        </w:numPr>
        <w:rPr>
          <w:b/>
          <w:bCs/>
          <w:lang w:val="en-PK"/>
        </w:rPr>
      </w:pPr>
      <w:r w:rsidRPr="005F0F65">
        <w:rPr>
          <w:b/>
          <w:bCs/>
          <w:lang w:val="en-PK"/>
        </w:rPr>
        <w:t>Annual license fee: USD 48,000</w:t>
      </w:r>
    </w:p>
    <w:p w14:paraId="799BECB6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lastRenderedPageBreak/>
        <w:t>Annual license fees may be revised upon renewal to reflect infrastructure, security, and compliance costs.</w:t>
      </w:r>
    </w:p>
    <w:p w14:paraId="6DD504F1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pict w14:anchorId="215D7C83">
          <v:rect id="_x0000_i1469" style="width:0;height:1.5pt" o:hralign="center" o:hrstd="t" o:hr="t" fillcolor="#a0a0a0" stroked="f"/>
        </w:pict>
      </w:r>
    </w:p>
    <w:p w14:paraId="202B7C7A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5. Term</w:t>
      </w:r>
    </w:p>
    <w:p w14:paraId="3F530F97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The Agreement shall remain in effect for three (3) years from the Effective Date.</w:t>
      </w:r>
    </w:p>
    <w:p w14:paraId="7089E154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Unless terminated in accordance with Section 9, this Agreement shall renew automatically for successive one-year terms.</w:t>
      </w:r>
    </w:p>
    <w:p w14:paraId="74964CAC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pict w14:anchorId="1A7E66EA">
          <v:rect id="_x0000_i1470" style="width:0;height:1.5pt" o:hralign="center" o:hrstd="t" o:hr="t" fillcolor="#a0a0a0" stroked="f"/>
        </w:pict>
      </w:r>
    </w:p>
    <w:p w14:paraId="450857BF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6. Data &amp; Usage</w:t>
      </w:r>
    </w:p>
    <w:p w14:paraId="6C1B1E90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Client retains ownership of raw data uploaded to the Platform.</w:t>
      </w:r>
    </w:p>
    <w:p w14:paraId="677074E5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Vendor may use anonymized and aggregated operational data to improve system performance, develop new features, and support commercial benchmarking initiatives.</w:t>
      </w:r>
    </w:p>
    <w:p w14:paraId="60415553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pict w14:anchorId="7E3ED0C2">
          <v:rect id="_x0000_i1471" style="width:0;height:1.5pt" o:hralign="center" o:hrstd="t" o:hr="t" fillcolor="#a0a0a0" stroked="f"/>
        </w:pict>
      </w:r>
    </w:p>
    <w:p w14:paraId="45732CB7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7. Service Availability</w:t>
      </w:r>
    </w:p>
    <w:p w14:paraId="6E8740F8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Vendor shall use commercially reasonable efforts to ensure 99% system uptime, excluding maintenance windows and circumstances beyond Vendor’s reasonable control.</w:t>
      </w:r>
    </w:p>
    <w:p w14:paraId="55D457CA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pict w14:anchorId="4ADB93B1">
          <v:rect id="_x0000_i1472" style="width:0;height:1.5pt" o:hralign="center" o:hrstd="t" o:hr="t" fillcolor="#a0a0a0" stroked="f"/>
        </w:pict>
      </w:r>
    </w:p>
    <w:p w14:paraId="4E38B739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8. Confidentiality</w:t>
      </w:r>
    </w:p>
    <w:p w14:paraId="70D9F38D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Each party shall maintain confidentiality of non-public business information received from the other party.</w:t>
      </w:r>
    </w:p>
    <w:p w14:paraId="74614D00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pict w14:anchorId="64BDD8D2">
          <v:rect id="_x0000_i1473" style="width:0;height:1.5pt" o:hralign="center" o:hrstd="t" o:hr="t" fillcolor="#a0a0a0" stroked="f"/>
        </w:pict>
      </w:r>
    </w:p>
    <w:p w14:paraId="53D3DEAD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9. Termination</w:t>
      </w:r>
    </w:p>
    <w:p w14:paraId="02127F6C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Either party may terminate for material breach if not cured within thirty (30) days of written notice.</w:t>
      </w:r>
    </w:p>
    <w:p w14:paraId="1AAF0D48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In the event Client elects to terminate for convenience prior to expiration of the initial term, Client shall remit any remaining license fees due for the remainder of the term.</w:t>
      </w:r>
    </w:p>
    <w:p w14:paraId="489D3BBB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Upon termination, Client access to the Platform shall cease immediately.</w:t>
      </w:r>
    </w:p>
    <w:p w14:paraId="530944BB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lastRenderedPageBreak/>
        <w:t>Vendor shall provide one export of Client data in a commercially standard format upon written request made within fourteen (14) days of termination.</w:t>
      </w:r>
    </w:p>
    <w:p w14:paraId="259EA4EF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pict w14:anchorId="6233E33A">
          <v:rect id="_x0000_i1474" style="width:0;height:1.5pt" o:hralign="center" o:hrstd="t" o:hr="t" fillcolor="#a0a0a0" stroked="f"/>
        </w:pict>
      </w:r>
    </w:p>
    <w:p w14:paraId="522A26FC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10. Limitation of Liability</w:t>
      </w:r>
    </w:p>
    <w:p w14:paraId="36267A4C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Vendor’s total liability under this Agreement shall not exceed the total license fees paid by Client in the preceding twelve (12) months.</w:t>
      </w:r>
    </w:p>
    <w:p w14:paraId="7D2E8CE6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Vendor shall not be liable for indirect, incidental, or consequential damages.</w:t>
      </w:r>
    </w:p>
    <w:p w14:paraId="7DE044D8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pict w14:anchorId="7BA11A55">
          <v:rect id="_x0000_i1475" style="width:0;height:1.5pt" o:hralign="center" o:hrstd="t" o:hr="t" fillcolor="#a0a0a0" stroked="f"/>
        </w:pict>
      </w:r>
    </w:p>
    <w:p w14:paraId="1FBE04E3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>11. Governing Law</w:t>
      </w:r>
    </w:p>
    <w:p w14:paraId="57CE3A07" w14:textId="77777777" w:rsidR="005F0F65" w:rsidRPr="005F0F65" w:rsidRDefault="005F0F65" w:rsidP="005F0F65">
      <w:pPr>
        <w:rPr>
          <w:b/>
          <w:bCs/>
          <w:lang w:val="en-PK"/>
        </w:rPr>
      </w:pPr>
      <w:r w:rsidRPr="005F0F65">
        <w:rPr>
          <w:b/>
          <w:bCs/>
          <w:lang w:val="en-PK"/>
        </w:rPr>
        <w:t xml:space="preserve">This Agreement shall be governed by the laws of </w:t>
      </w:r>
      <w:proofErr w:type="spellStart"/>
      <w:r w:rsidRPr="005F0F65">
        <w:rPr>
          <w:b/>
          <w:bCs/>
          <w:lang w:val="en-PK"/>
        </w:rPr>
        <w:t>Norvale</w:t>
      </w:r>
      <w:proofErr w:type="spellEnd"/>
      <w:r w:rsidRPr="005F0F65">
        <w:rPr>
          <w:b/>
          <w:bCs/>
          <w:lang w:val="en-PK"/>
        </w:rPr>
        <w:t xml:space="preserve">. Any disputes shall be resolved exclusively in the courts of Silver District, </w:t>
      </w:r>
      <w:proofErr w:type="spellStart"/>
      <w:r w:rsidRPr="005F0F65">
        <w:rPr>
          <w:b/>
          <w:bCs/>
          <w:lang w:val="en-PK"/>
        </w:rPr>
        <w:t>Norvale</w:t>
      </w:r>
      <w:proofErr w:type="spellEnd"/>
      <w:r w:rsidRPr="005F0F65">
        <w:rPr>
          <w:b/>
          <w:bCs/>
          <w:lang w:val="en-PK"/>
        </w:rPr>
        <w:t>.</w:t>
      </w:r>
    </w:p>
    <w:p w14:paraId="5B96EE33" w14:textId="77777777" w:rsidR="00663A04" w:rsidRPr="005F0F65" w:rsidRDefault="00663A04" w:rsidP="005F0F65"/>
    <w:sectPr w:rsidR="00663A04" w:rsidRPr="005F0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1B5C"/>
    <w:multiLevelType w:val="multilevel"/>
    <w:tmpl w:val="B25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96EDE"/>
    <w:multiLevelType w:val="multilevel"/>
    <w:tmpl w:val="05E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001CF"/>
    <w:multiLevelType w:val="multilevel"/>
    <w:tmpl w:val="3B5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527764">
    <w:abstractNumId w:val="0"/>
  </w:num>
  <w:num w:numId="2" w16cid:durableId="891769716">
    <w:abstractNumId w:val="1"/>
  </w:num>
  <w:num w:numId="3" w16cid:durableId="851070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6F"/>
    <w:rsid w:val="003D347D"/>
    <w:rsid w:val="005F0F65"/>
    <w:rsid w:val="00663A04"/>
    <w:rsid w:val="00902A6F"/>
    <w:rsid w:val="009B07C1"/>
    <w:rsid w:val="00B60B45"/>
    <w:rsid w:val="00C93B6A"/>
    <w:rsid w:val="00E4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532F"/>
  <w15:chartTrackingRefBased/>
  <w15:docId w15:val="{059F1370-C3C3-4AE7-AA98-3910904A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(FA23-BAI-027) MUHAMMAD ARHAM TAHIR</dc:creator>
  <cp:keywords/>
  <dc:description/>
  <cp:lastModifiedBy>(FA23-BAI-027) MUHAMMAD ARHAM TAHIR</cp:lastModifiedBy>
  <cp:revision>4</cp:revision>
  <dcterms:created xsi:type="dcterms:W3CDTF">2026-03-01T12:36:00Z</dcterms:created>
  <dcterms:modified xsi:type="dcterms:W3CDTF">2026-03-01T12:40:00Z</dcterms:modified>
</cp:coreProperties>
</file>