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3245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This Software Services &amp; Licensing Agreement (“Agreement”) is entered into on March 1, 2026, by and between:</w:t>
      </w:r>
    </w:p>
    <w:p w14:paraId="7900465F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BrightLedger Technologies Ltd., incorporated under the laws of Estoria, with its principal office at 14 Aurora Business Park, Central District (“Vendor”),</w:t>
      </w:r>
    </w:p>
    <w:p w14:paraId="1A98AB64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AND</w:t>
      </w:r>
    </w:p>
    <w:p w14:paraId="6DF3DEFC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CedarStone Manufacturing Co., incorporated under the laws of Lydell, with offices at 300 Industrial Crescent, Westport (“Client”).</w:t>
      </w:r>
    </w:p>
    <w:p w14:paraId="3FBE6A93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4E7454F9">
          <v:rect id="_x0000_i1146" style="width:0;height:1.5pt" o:hralign="center" o:hrstd="t" o:hr="t" fillcolor="#a0a0a0" stroked="f"/>
        </w:pict>
      </w:r>
    </w:p>
    <w:p w14:paraId="070B5B27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1. Purpose</w:t>
      </w:r>
    </w:p>
    <w:p w14:paraId="59B4A129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Vendor agrees to provide access to its cloud-based financial management platform (“Platform”) along with onboarding, training, and ongoing support services.</w:t>
      </w:r>
    </w:p>
    <w:p w14:paraId="0197925E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5FECBDA8">
          <v:rect id="_x0000_i1147" style="width:0;height:1.5pt" o:hralign="center" o:hrstd="t" o:hr="t" fillcolor="#a0a0a0" stroked="f"/>
        </w:pict>
      </w:r>
    </w:p>
    <w:p w14:paraId="2ED6C5EA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2. License Grant</w:t>
      </w:r>
    </w:p>
    <w:p w14:paraId="00736A78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Vendor grants Client a non-exclusive, non-transferable license to access and use the Platform for internal business purposes during the term of this Agreement.</w:t>
      </w:r>
    </w:p>
    <w:p w14:paraId="66C82F02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All intellectual property rights in the Platform remain with Vendor. Client retains full ownership of all data uploaded or generated through its use of the Platform.</w:t>
      </w:r>
    </w:p>
    <w:p w14:paraId="28C044C5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1834B0C6">
          <v:rect id="_x0000_i1148" style="width:0;height:1.5pt" o:hralign="center" o:hrstd="t" o:hr="t" fillcolor="#a0a0a0" stroked="f"/>
        </w:pict>
      </w:r>
    </w:p>
    <w:p w14:paraId="731B0983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3. Fees &amp; Payment</w:t>
      </w:r>
    </w:p>
    <w:p w14:paraId="6F48DF86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Client agrees to pay:</w:t>
      </w:r>
    </w:p>
    <w:p w14:paraId="59B3F81C" w14:textId="77777777" w:rsidR="009B59DA" w:rsidRPr="009B59DA" w:rsidRDefault="009B59DA" w:rsidP="009B59DA">
      <w:pPr>
        <w:numPr>
          <w:ilvl w:val="0"/>
          <w:numId w:val="4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Implementation Fee: USD 25,000 (one-time)</w:t>
      </w:r>
    </w:p>
    <w:p w14:paraId="684241AE" w14:textId="77777777" w:rsidR="009B59DA" w:rsidRPr="009B59DA" w:rsidRDefault="009B59DA" w:rsidP="009B59DA">
      <w:pPr>
        <w:numPr>
          <w:ilvl w:val="0"/>
          <w:numId w:val="4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Annual Subscription Fee: USD 36,000</w:t>
      </w:r>
    </w:p>
    <w:p w14:paraId="50DEA58C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Fees shall remain fixed during the initial three-year term. Any fee adjustments upon renewal must be mutually agreed upon in writing at least sixty (60) days prior to renewal.</w:t>
      </w:r>
    </w:p>
    <w:p w14:paraId="0881D6F0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Late payments shall accrue interest at 1% per month, not compounded.</w:t>
      </w:r>
    </w:p>
    <w:p w14:paraId="781F57F3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386E4E22">
          <v:rect id="_x0000_i1149" style="width:0;height:1.5pt" o:hralign="center" o:hrstd="t" o:hr="t" fillcolor="#a0a0a0" stroked="f"/>
        </w:pict>
      </w:r>
    </w:p>
    <w:p w14:paraId="657E1044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4. Term &amp; Renewal</w:t>
      </w:r>
    </w:p>
    <w:p w14:paraId="3042FECF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The Agreement shall remain in effect for three (3) years.</w:t>
      </w:r>
    </w:p>
    <w:p w14:paraId="15361994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Renewal shall occur only upon written agreement by both parties at least thirty (30) days prior to expiration.</w:t>
      </w:r>
    </w:p>
    <w:p w14:paraId="577FF617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lastRenderedPageBreak/>
        <w:pict w14:anchorId="7AB83CA6">
          <v:rect id="_x0000_i1150" style="width:0;height:1.5pt" o:hralign="center" o:hrstd="t" o:hr="t" fillcolor="#a0a0a0" stroked="f"/>
        </w:pict>
      </w:r>
    </w:p>
    <w:p w14:paraId="6310BA74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5. Data Ownership &amp; Access</w:t>
      </w:r>
    </w:p>
    <w:p w14:paraId="13CDD5C6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Client retains sole ownership of all uploaded and generated data.</w:t>
      </w:r>
    </w:p>
    <w:p w14:paraId="5A8EDA67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Vendor shall:</w:t>
      </w:r>
    </w:p>
    <w:p w14:paraId="355D9A94" w14:textId="77777777" w:rsidR="009B59DA" w:rsidRPr="009B59DA" w:rsidRDefault="009B59DA" w:rsidP="009B59DA">
      <w:pPr>
        <w:numPr>
          <w:ilvl w:val="0"/>
          <w:numId w:val="5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Not use Client data for commercial purposes without written consent</w:t>
      </w:r>
    </w:p>
    <w:p w14:paraId="62FFEE97" w14:textId="77777777" w:rsidR="009B59DA" w:rsidRPr="009B59DA" w:rsidRDefault="009B59DA" w:rsidP="009B59DA">
      <w:pPr>
        <w:numPr>
          <w:ilvl w:val="0"/>
          <w:numId w:val="5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Not share Client data with third parties except as required to provide services</w:t>
      </w:r>
    </w:p>
    <w:p w14:paraId="0F70F3FF" w14:textId="77777777" w:rsidR="009B59DA" w:rsidRPr="009B59DA" w:rsidRDefault="009B59DA" w:rsidP="009B59DA">
      <w:pPr>
        <w:numPr>
          <w:ilvl w:val="0"/>
          <w:numId w:val="5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Provide full data export in a standard, machine-readable format upon request</w:t>
      </w:r>
    </w:p>
    <w:p w14:paraId="7B4D28A4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Upon termination, Client shall have ninety (90) days to retrieve its data before deletion.</w:t>
      </w:r>
    </w:p>
    <w:p w14:paraId="5A1D25D2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08FBA564">
          <v:rect id="_x0000_i1151" style="width:0;height:1.5pt" o:hralign="center" o:hrstd="t" o:hr="t" fillcolor="#a0a0a0" stroked="f"/>
        </w:pict>
      </w:r>
    </w:p>
    <w:p w14:paraId="2B40C813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6. Service Levels</w:t>
      </w:r>
    </w:p>
    <w:p w14:paraId="6F48521F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Vendor shall maintain 99% monthly uptime, excluding scheduled maintenance agreed in advance.</w:t>
      </w:r>
    </w:p>
    <w:p w14:paraId="44836B91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If uptime falls below 99%, Client shall be entitled to service credits as follows:</w:t>
      </w:r>
    </w:p>
    <w:p w14:paraId="00C280B5" w14:textId="77777777" w:rsidR="009B59DA" w:rsidRPr="009B59DA" w:rsidRDefault="009B59DA" w:rsidP="009B59DA">
      <w:pPr>
        <w:numPr>
          <w:ilvl w:val="0"/>
          <w:numId w:val="6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1% fee credit for each 1% drop below the target, up to 20%.</w:t>
      </w:r>
    </w:p>
    <w:p w14:paraId="40D049DD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3904B52F">
          <v:rect id="_x0000_i1152" style="width:0;height:1.5pt" o:hralign="center" o:hrstd="t" o:hr="t" fillcolor="#a0a0a0" stroked="f"/>
        </w:pict>
      </w:r>
    </w:p>
    <w:p w14:paraId="11AE8047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7. Confidentiality</w:t>
      </w:r>
    </w:p>
    <w:p w14:paraId="6E7BCC54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Both parties agree to protect confidential information for five (5) years following termination.</w:t>
      </w:r>
    </w:p>
    <w:p w14:paraId="1E5A969F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04A7AD56">
          <v:rect id="_x0000_i1153" style="width:0;height:1.5pt" o:hralign="center" o:hrstd="t" o:hr="t" fillcolor="#a0a0a0" stroked="f"/>
        </w:pict>
      </w:r>
    </w:p>
    <w:p w14:paraId="14511F04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8. Limitation of Liability</w:t>
      </w:r>
    </w:p>
    <w:p w14:paraId="071F9A59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Each party’s total liability shall not exceed two (2) times the total annual fees paid in the twelve (12) months preceding the claim.</w:t>
      </w:r>
    </w:p>
    <w:p w14:paraId="6270FD28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Nothing in this Agreement shall limit liability for:</w:t>
      </w:r>
    </w:p>
    <w:p w14:paraId="23ACC38C" w14:textId="77777777" w:rsidR="009B59DA" w:rsidRPr="009B59DA" w:rsidRDefault="009B59DA" w:rsidP="009B59DA">
      <w:pPr>
        <w:numPr>
          <w:ilvl w:val="0"/>
          <w:numId w:val="7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Fraud</w:t>
      </w:r>
    </w:p>
    <w:p w14:paraId="35D6876F" w14:textId="77777777" w:rsidR="009B59DA" w:rsidRPr="009B59DA" w:rsidRDefault="009B59DA" w:rsidP="009B59DA">
      <w:pPr>
        <w:numPr>
          <w:ilvl w:val="0"/>
          <w:numId w:val="7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Willful misconduct</w:t>
      </w:r>
    </w:p>
    <w:p w14:paraId="0216824C" w14:textId="77777777" w:rsidR="009B59DA" w:rsidRPr="009B59DA" w:rsidRDefault="009B59DA" w:rsidP="009B59DA">
      <w:pPr>
        <w:numPr>
          <w:ilvl w:val="0"/>
          <w:numId w:val="7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Breach of confidentiality</w:t>
      </w:r>
    </w:p>
    <w:p w14:paraId="34915056" w14:textId="77777777" w:rsidR="009B59DA" w:rsidRPr="009B59DA" w:rsidRDefault="009B59DA" w:rsidP="009B59DA">
      <w:pPr>
        <w:numPr>
          <w:ilvl w:val="0"/>
          <w:numId w:val="7"/>
        </w:numPr>
        <w:rPr>
          <w:b/>
          <w:bCs/>
          <w:lang w:val="en-PK"/>
        </w:rPr>
      </w:pPr>
      <w:r w:rsidRPr="009B59DA">
        <w:rPr>
          <w:b/>
          <w:bCs/>
          <w:lang w:val="en-PK"/>
        </w:rPr>
        <w:t>Data protection violations</w:t>
      </w:r>
    </w:p>
    <w:p w14:paraId="45C3CBF6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lastRenderedPageBreak/>
        <w:pict w14:anchorId="2FB166E1">
          <v:rect id="_x0000_i1154" style="width:0;height:1.5pt" o:hralign="center" o:hrstd="t" o:hr="t" fillcolor="#a0a0a0" stroked="f"/>
        </w:pict>
      </w:r>
    </w:p>
    <w:p w14:paraId="0374693F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9. Indemnification</w:t>
      </w:r>
    </w:p>
    <w:p w14:paraId="23F6574D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Vendor shall indemnify Client against third-party claims alleging intellectual property infringement arising from the Platform.</w:t>
      </w:r>
    </w:p>
    <w:p w14:paraId="3C7FEE67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Client shall indemnify Vendor against claims arising from unlawful use of the Platform.</w:t>
      </w:r>
    </w:p>
    <w:p w14:paraId="12E9BF8F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43C486C7">
          <v:rect id="_x0000_i1155" style="width:0;height:1.5pt" o:hralign="center" o:hrstd="t" o:hr="t" fillcolor="#a0a0a0" stroked="f"/>
        </w:pict>
      </w:r>
    </w:p>
    <w:p w14:paraId="2C669822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10. Termination</w:t>
      </w:r>
    </w:p>
    <w:p w14:paraId="76E71941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Either party may terminate for material breach if not cured within thirty (30) days.</w:t>
      </w:r>
    </w:p>
    <w:p w14:paraId="1AC0C8B4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Client may terminate for convenience upon sixty (60) days written notice without penalty.</w:t>
      </w:r>
    </w:p>
    <w:p w14:paraId="70E05F0E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pict w14:anchorId="65734D3E">
          <v:rect id="_x0000_i1156" style="width:0;height:1.5pt" o:hralign="center" o:hrstd="t" o:hr="t" fillcolor="#a0a0a0" stroked="f"/>
        </w:pict>
      </w:r>
    </w:p>
    <w:p w14:paraId="6AAB88BB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11. Governing Law</w:t>
      </w:r>
    </w:p>
    <w:p w14:paraId="51A95675" w14:textId="77777777" w:rsidR="009B59DA" w:rsidRPr="009B59DA" w:rsidRDefault="009B59DA" w:rsidP="009B59DA">
      <w:pPr>
        <w:rPr>
          <w:b/>
          <w:bCs/>
          <w:lang w:val="en-PK"/>
        </w:rPr>
      </w:pPr>
      <w:r w:rsidRPr="009B59DA">
        <w:rPr>
          <w:b/>
          <w:bCs/>
          <w:lang w:val="en-PK"/>
        </w:rPr>
        <w:t>This Agreement shall be governed by the laws of Lydell. Disputes shall be resolved in the courts located in Westport, unless mutually agreed otherwise.</w:t>
      </w:r>
    </w:p>
    <w:p w14:paraId="5B96EE33" w14:textId="77777777" w:rsidR="00663A04" w:rsidRPr="009B59DA" w:rsidRDefault="00663A04" w:rsidP="009B59DA"/>
    <w:sectPr w:rsidR="00663A04" w:rsidRPr="009B5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C32"/>
    <w:multiLevelType w:val="multilevel"/>
    <w:tmpl w:val="F99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1B5C"/>
    <w:multiLevelType w:val="multilevel"/>
    <w:tmpl w:val="B25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96EDE"/>
    <w:multiLevelType w:val="multilevel"/>
    <w:tmpl w:val="05E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546BC"/>
    <w:multiLevelType w:val="multilevel"/>
    <w:tmpl w:val="A11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001CF"/>
    <w:multiLevelType w:val="multilevel"/>
    <w:tmpl w:val="3B5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225B6"/>
    <w:multiLevelType w:val="multilevel"/>
    <w:tmpl w:val="F5F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02C36"/>
    <w:multiLevelType w:val="multilevel"/>
    <w:tmpl w:val="A94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27764">
    <w:abstractNumId w:val="1"/>
  </w:num>
  <w:num w:numId="2" w16cid:durableId="891769716">
    <w:abstractNumId w:val="2"/>
  </w:num>
  <w:num w:numId="3" w16cid:durableId="851070843">
    <w:abstractNumId w:val="4"/>
  </w:num>
  <w:num w:numId="4" w16cid:durableId="1023749766">
    <w:abstractNumId w:val="5"/>
  </w:num>
  <w:num w:numId="5" w16cid:durableId="66080841">
    <w:abstractNumId w:val="0"/>
  </w:num>
  <w:num w:numId="6" w16cid:durableId="1698387759">
    <w:abstractNumId w:val="3"/>
  </w:num>
  <w:num w:numId="7" w16cid:durableId="775716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6F"/>
    <w:rsid w:val="003D347D"/>
    <w:rsid w:val="005F0F65"/>
    <w:rsid w:val="00663A04"/>
    <w:rsid w:val="00902A6F"/>
    <w:rsid w:val="009B07C1"/>
    <w:rsid w:val="009B59DA"/>
    <w:rsid w:val="00B60B45"/>
    <w:rsid w:val="00C93B6A"/>
    <w:rsid w:val="00E43E6F"/>
    <w:rsid w:val="00E7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532F"/>
  <w15:chartTrackingRefBased/>
  <w15:docId w15:val="{059F1370-C3C3-4AE7-AA98-3910904A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(FA23-BAI-027) MUHAMMAD ARHAM TAHIR</dc:creator>
  <cp:keywords/>
  <dc:description/>
  <cp:lastModifiedBy>(FA23-BAI-027) MUHAMMAD ARHAM TAHIR</cp:lastModifiedBy>
  <cp:revision>5</cp:revision>
  <dcterms:created xsi:type="dcterms:W3CDTF">2026-03-01T12:36:00Z</dcterms:created>
  <dcterms:modified xsi:type="dcterms:W3CDTF">2026-03-01T14:01:00Z</dcterms:modified>
</cp:coreProperties>
</file>