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E5D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ENTERPRISE OPERATIONS MANAGEMENT AGREEMENT</w:t>
      </w:r>
    </w:p>
    <w:p w14:paraId="53C0587A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This Enterprise Operations Management Agreement (“Agreement”) is entered into on March 1, 2026, by and between:</w:t>
      </w:r>
    </w:p>
    <w:p w14:paraId="150F3091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Quantaris Global Systems Ltd., incorporated under the laws of Norvane, with its principal office at 990 Axis Boulevard, Meridian City (“Manager”),</w:t>
      </w:r>
    </w:p>
    <w:p w14:paraId="02C6E1E7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AND</w:t>
      </w:r>
    </w:p>
    <w:p w14:paraId="22D50960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HarborLine Trade Consortium, incorporated under the laws of Eastmark, with offices at 125 Docklands Avenue, Port Sterling (“Company”).</w:t>
      </w:r>
    </w:p>
    <w:p w14:paraId="61D57307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034EED61">
          <v:rect id="_x0000_i1146" style="width:0;height:1.5pt" o:hralign="center" o:hrstd="t" o:hr="t" fillcolor="#a0a0a0" stroked="f"/>
        </w:pict>
      </w:r>
    </w:p>
    <w:p w14:paraId="54AACB81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1. Engagement</w:t>
      </w:r>
    </w:p>
    <w:p w14:paraId="374DE649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Company hereby appoints Manager to oversee, optimize, and coordinate operational strategy, procurement frameworks, vendor selection models, and digital transformation initiatives across all present and future business divisions.</w:t>
      </w:r>
    </w:p>
    <w:p w14:paraId="428850D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Manager shall act in an advisory and supervisory capacity, with authority to implement operational protocols necessary to achieve performance objectives.</w:t>
      </w:r>
    </w:p>
    <w:p w14:paraId="02932008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05F54C47">
          <v:rect id="_x0000_i1147" style="width:0;height:1.5pt" o:hralign="center" o:hrstd="t" o:hr="t" fillcolor="#a0a0a0" stroked="f"/>
        </w:pict>
      </w:r>
    </w:p>
    <w:p w14:paraId="61407C0A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2. Term</w:t>
      </w:r>
    </w:p>
    <w:p w14:paraId="01E38120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This Agreement shall remain in effect for ten (10) years from the Effective Date.</w:t>
      </w:r>
    </w:p>
    <w:p w14:paraId="0FDD6BEA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The Agreement shall renew automatically for successive ten-year terms unless Company provides written notice of non-renewal no later than eighteen (18) months prior to expiration.</w:t>
      </w:r>
    </w:p>
    <w:p w14:paraId="3C81A7D5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2E7BEF73">
          <v:rect id="_x0000_i1148" style="width:0;height:1.5pt" o:hralign="center" o:hrstd="t" o:hr="t" fillcolor="#a0a0a0" stroked="f"/>
        </w:pict>
      </w:r>
    </w:p>
    <w:p w14:paraId="55106D38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3. Compensation</w:t>
      </w:r>
    </w:p>
    <w:p w14:paraId="723AEB30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Company agrees to pay Manager:</w:t>
      </w:r>
    </w:p>
    <w:p w14:paraId="595D7537" w14:textId="77777777" w:rsidR="00650EDC" w:rsidRPr="00650EDC" w:rsidRDefault="00650EDC" w:rsidP="00650EDC">
      <w:pPr>
        <w:numPr>
          <w:ilvl w:val="0"/>
          <w:numId w:val="8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Annual Management Fee: USD 480,000</w:t>
      </w:r>
    </w:p>
    <w:p w14:paraId="7166A4A8" w14:textId="77777777" w:rsidR="00650EDC" w:rsidRPr="00650EDC" w:rsidRDefault="00650EDC" w:rsidP="00650EDC">
      <w:pPr>
        <w:numPr>
          <w:ilvl w:val="0"/>
          <w:numId w:val="8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Performance Incentive: 8% of net operational cost savings as calculated by Manager</w:t>
      </w:r>
    </w:p>
    <w:p w14:paraId="09C7AD88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All fees are payable quarterly in advance.</w:t>
      </w:r>
    </w:p>
    <w:p w14:paraId="4C58EE7B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Manager shall have discretion to adjust fee structures to reflect increased operational scope, regulatory complexity, inflationary pressures, or strategic expansion initiatives.</w:t>
      </w:r>
    </w:p>
    <w:p w14:paraId="0AC1C7B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lastRenderedPageBreak/>
        <w:pict w14:anchorId="639DED53">
          <v:rect id="_x0000_i1149" style="width:0;height:1.5pt" o:hralign="center" o:hrstd="t" o:hr="t" fillcolor="#a0a0a0" stroked="f"/>
        </w:pict>
      </w:r>
    </w:p>
    <w:p w14:paraId="47187C72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4. Authority &amp; Decision Implementation</w:t>
      </w:r>
    </w:p>
    <w:p w14:paraId="116AF2A4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Company acknowledges that timely execution of operational strategy is essential.</w:t>
      </w:r>
    </w:p>
    <w:p w14:paraId="4EEB2D28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Accordingly, Company agrees to implement recommendations issued by Manager unless such recommendations are rejected in writing within five (5) business days of receipt.</w:t>
      </w:r>
    </w:p>
    <w:p w14:paraId="2F303E7C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Failure to respond within such period shall constitute deemed approval.</w:t>
      </w:r>
    </w:p>
    <w:p w14:paraId="68D9E48D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3CA682F3">
          <v:rect id="_x0000_i1150" style="width:0;height:1.5pt" o:hralign="center" o:hrstd="t" o:hr="t" fillcolor="#a0a0a0" stroked="f"/>
        </w:pict>
      </w:r>
    </w:p>
    <w:p w14:paraId="0A21D655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5. Intellectual Property &amp; Process Ownership</w:t>
      </w:r>
    </w:p>
    <w:p w14:paraId="4F283DF0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All methodologies, restructuring frameworks, procurement systems, reporting structures, documentation templates, and derivative improvements developed during the term of this Agreement shall be the exclusive property of Manager.</w:t>
      </w:r>
    </w:p>
    <w:p w14:paraId="55DD0FD4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Company hereby assigns any potential ownership interest in such materials to Manager.</w:t>
      </w:r>
    </w:p>
    <w:p w14:paraId="1CB52A95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5AFA74C0">
          <v:rect id="_x0000_i1151" style="width:0;height:1.5pt" o:hralign="center" o:hrstd="t" o:hr="t" fillcolor="#a0a0a0" stroked="f"/>
        </w:pict>
      </w:r>
    </w:p>
    <w:p w14:paraId="6D2F658D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6. Financial Reliance</w:t>
      </w:r>
    </w:p>
    <w:p w14:paraId="4E57C0B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Company acknowledges that performance metrics, projections, and savings analyses are inherently forward-looking and may be influenced by market volatility, regulatory change, supplier performance, or macroeconomic factors.</w:t>
      </w:r>
    </w:p>
    <w:p w14:paraId="178A0FD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Manager makes no representation or warranty regarding specific financial outcomes.</w:t>
      </w:r>
    </w:p>
    <w:p w14:paraId="268F7F22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555DC6BC">
          <v:rect id="_x0000_i1152" style="width:0;height:1.5pt" o:hralign="center" o:hrstd="t" o:hr="t" fillcolor="#a0a0a0" stroked="f"/>
        </w:pict>
      </w:r>
    </w:p>
    <w:p w14:paraId="6A0CF9C4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7. Indemnification</w:t>
      </w:r>
    </w:p>
    <w:p w14:paraId="0ED6B9CF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Company shall indemnify, defend, and hold harmless Manager, its affiliates, directors, and employees from any and all claims, penalties, damages, regulatory actions, investigations, or losses arising from:</w:t>
      </w:r>
    </w:p>
    <w:p w14:paraId="5EA2F95D" w14:textId="77777777" w:rsidR="00650EDC" w:rsidRPr="00650EDC" w:rsidRDefault="00650EDC" w:rsidP="00650EDC">
      <w:pPr>
        <w:numPr>
          <w:ilvl w:val="0"/>
          <w:numId w:val="9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Operational decisions</w:t>
      </w:r>
    </w:p>
    <w:p w14:paraId="2D454359" w14:textId="77777777" w:rsidR="00650EDC" w:rsidRPr="00650EDC" w:rsidRDefault="00650EDC" w:rsidP="00650EDC">
      <w:pPr>
        <w:numPr>
          <w:ilvl w:val="0"/>
          <w:numId w:val="9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Vendor disputes</w:t>
      </w:r>
    </w:p>
    <w:p w14:paraId="553569A6" w14:textId="77777777" w:rsidR="00650EDC" w:rsidRPr="00650EDC" w:rsidRDefault="00650EDC" w:rsidP="00650EDC">
      <w:pPr>
        <w:numPr>
          <w:ilvl w:val="0"/>
          <w:numId w:val="9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Workforce restructuring</w:t>
      </w:r>
    </w:p>
    <w:p w14:paraId="7D22E79B" w14:textId="77777777" w:rsidR="00650EDC" w:rsidRPr="00650EDC" w:rsidRDefault="00650EDC" w:rsidP="00650EDC">
      <w:pPr>
        <w:numPr>
          <w:ilvl w:val="0"/>
          <w:numId w:val="9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Regulatory reviews</w:t>
      </w:r>
    </w:p>
    <w:p w14:paraId="3F1C3180" w14:textId="77777777" w:rsidR="00650EDC" w:rsidRPr="00650EDC" w:rsidRDefault="00650EDC" w:rsidP="00650EDC">
      <w:pPr>
        <w:numPr>
          <w:ilvl w:val="0"/>
          <w:numId w:val="9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Implementation of strategic initiatives</w:t>
      </w:r>
    </w:p>
    <w:p w14:paraId="37A3CFA5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lastRenderedPageBreak/>
        <w:t>This indemnification shall apply regardless of whether such matters arise from Manager’s recommendations.</w:t>
      </w:r>
    </w:p>
    <w:p w14:paraId="2261C61C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099E0419">
          <v:rect id="_x0000_i1153" style="width:0;height:1.5pt" o:hralign="center" o:hrstd="t" o:hr="t" fillcolor="#a0a0a0" stroked="f"/>
        </w:pict>
      </w:r>
    </w:p>
    <w:p w14:paraId="1BF9D97F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8. Limitation of Liability</w:t>
      </w:r>
    </w:p>
    <w:p w14:paraId="5B198EE3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Manager’s total aggregate liability under this Agreement shall not exceed the total management fees paid by Company during the preceding three (3) months.</w:t>
      </w:r>
    </w:p>
    <w:p w14:paraId="7E8B8BA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Under no circumstances shall Manager be liable for:</w:t>
      </w:r>
    </w:p>
    <w:p w14:paraId="4A7A7DA8" w14:textId="77777777" w:rsidR="00650EDC" w:rsidRPr="00650EDC" w:rsidRDefault="00650EDC" w:rsidP="00650EDC">
      <w:pPr>
        <w:numPr>
          <w:ilvl w:val="0"/>
          <w:numId w:val="10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Direct or indirect financial losses</w:t>
      </w:r>
    </w:p>
    <w:p w14:paraId="58338227" w14:textId="77777777" w:rsidR="00650EDC" w:rsidRPr="00650EDC" w:rsidRDefault="00650EDC" w:rsidP="00650EDC">
      <w:pPr>
        <w:numPr>
          <w:ilvl w:val="0"/>
          <w:numId w:val="10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Business interruption</w:t>
      </w:r>
    </w:p>
    <w:p w14:paraId="4B14F021" w14:textId="77777777" w:rsidR="00650EDC" w:rsidRPr="00650EDC" w:rsidRDefault="00650EDC" w:rsidP="00650EDC">
      <w:pPr>
        <w:numPr>
          <w:ilvl w:val="0"/>
          <w:numId w:val="10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Loss of opportunity</w:t>
      </w:r>
    </w:p>
    <w:p w14:paraId="7D4CF348" w14:textId="77777777" w:rsidR="00650EDC" w:rsidRPr="00650EDC" w:rsidRDefault="00650EDC" w:rsidP="00650EDC">
      <w:pPr>
        <w:numPr>
          <w:ilvl w:val="0"/>
          <w:numId w:val="10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Reputational harm</w:t>
      </w:r>
    </w:p>
    <w:p w14:paraId="0C1E146F" w14:textId="77777777" w:rsidR="00650EDC" w:rsidRPr="00650EDC" w:rsidRDefault="00650EDC" w:rsidP="00650EDC">
      <w:pPr>
        <w:numPr>
          <w:ilvl w:val="0"/>
          <w:numId w:val="10"/>
        </w:numPr>
        <w:rPr>
          <w:b/>
          <w:bCs/>
          <w:lang w:val="en-PK"/>
        </w:rPr>
      </w:pPr>
      <w:r w:rsidRPr="00650EDC">
        <w:rPr>
          <w:b/>
          <w:bCs/>
          <w:lang w:val="en-PK"/>
        </w:rPr>
        <w:t>Regulatory penalties</w:t>
      </w:r>
    </w:p>
    <w:p w14:paraId="7902A2CA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0E0FF8D8">
          <v:rect id="_x0000_i1154" style="width:0;height:1.5pt" o:hralign="center" o:hrstd="t" o:hr="t" fillcolor="#a0a0a0" stroked="f"/>
        </w:pict>
      </w:r>
    </w:p>
    <w:p w14:paraId="752C0F9F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9. Change of Control</w:t>
      </w:r>
    </w:p>
    <w:p w14:paraId="36604ADC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In the event Company undergoes merger, acquisition, restructuring, asset sale, or ownership transfer, this Agreement shall remain binding.</w:t>
      </w:r>
    </w:p>
    <w:p w14:paraId="2724BCC1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If Manager reasonably determines that such transaction alters strategic alignment, all remaining fees for the active term shall become immediately due and payable.</w:t>
      </w:r>
    </w:p>
    <w:p w14:paraId="476A01F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15CA2E12">
          <v:rect id="_x0000_i1155" style="width:0;height:1.5pt" o:hralign="center" o:hrstd="t" o:hr="t" fillcolor="#a0a0a0" stroked="f"/>
        </w:pict>
      </w:r>
    </w:p>
    <w:p w14:paraId="48DB4ADC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10. Termination</w:t>
      </w:r>
    </w:p>
    <w:p w14:paraId="1FD3AEB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Company may terminate this Agreement for material breach if uncured within thirty (30) days.</w:t>
      </w:r>
    </w:p>
    <w:p w14:paraId="16E37A2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If Company terminates for convenience, dissatisfaction, restructuring, or budgetary adjustment, Company shall remain responsible for payment of all management fees projected for the remainder of the current and renewal term.</w:t>
      </w:r>
    </w:p>
    <w:p w14:paraId="2FD2F14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Termination shall not affect Manager’s rights under Sections 5, 7, and 8, which shall survive indefinitely.</w:t>
      </w:r>
    </w:p>
    <w:p w14:paraId="4A8018D3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pict w14:anchorId="0856137A">
          <v:rect id="_x0000_i1156" style="width:0;height:1.5pt" o:hralign="center" o:hrstd="t" o:hr="t" fillcolor="#a0a0a0" stroked="f"/>
        </w:pict>
      </w:r>
    </w:p>
    <w:p w14:paraId="2F45282D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11. Governing Law &amp; Dispute Resolution</w:t>
      </w:r>
    </w:p>
    <w:p w14:paraId="0B2311C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This Agreement shall be governed exclusively by the laws of Norvane.</w:t>
      </w:r>
    </w:p>
    <w:p w14:paraId="5B6EBBF0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lastRenderedPageBreak/>
        <w:t>Any disputes shall be resolved through confidential arbitration seated in Meridian City under the rules of the Norvane Strategic Commercial Tribunal.</w:t>
      </w:r>
    </w:p>
    <w:p w14:paraId="422CD78E" w14:textId="77777777" w:rsidR="00650EDC" w:rsidRPr="00650EDC" w:rsidRDefault="00650EDC" w:rsidP="00650EDC">
      <w:pPr>
        <w:rPr>
          <w:b/>
          <w:bCs/>
          <w:lang w:val="en-PK"/>
        </w:rPr>
      </w:pPr>
      <w:r w:rsidRPr="00650EDC">
        <w:rPr>
          <w:b/>
          <w:bCs/>
          <w:lang w:val="en-PK"/>
        </w:rPr>
        <w:t>Proceedings shall be conducted in the Norvanian language.</w:t>
      </w:r>
    </w:p>
    <w:p w14:paraId="5B96EE33" w14:textId="77777777" w:rsidR="00663A04" w:rsidRPr="00650EDC" w:rsidRDefault="00663A04" w:rsidP="00650EDC"/>
    <w:sectPr w:rsidR="00663A04" w:rsidRPr="00650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C32"/>
    <w:multiLevelType w:val="multilevel"/>
    <w:tmpl w:val="F99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22F6"/>
    <w:multiLevelType w:val="multilevel"/>
    <w:tmpl w:val="EED0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1B5C"/>
    <w:multiLevelType w:val="multilevel"/>
    <w:tmpl w:val="B25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47F3"/>
    <w:multiLevelType w:val="multilevel"/>
    <w:tmpl w:val="E5C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96EDE"/>
    <w:multiLevelType w:val="multilevel"/>
    <w:tmpl w:val="05E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546BC"/>
    <w:multiLevelType w:val="multilevel"/>
    <w:tmpl w:val="A11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36289"/>
    <w:multiLevelType w:val="multilevel"/>
    <w:tmpl w:val="E8D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001CF"/>
    <w:multiLevelType w:val="multilevel"/>
    <w:tmpl w:val="3B5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225B6"/>
    <w:multiLevelType w:val="multilevel"/>
    <w:tmpl w:val="F5F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02C36"/>
    <w:multiLevelType w:val="multilevel"/>
    <w:tmpl w:val="A94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27764">
    <w:abstractNumId w:val="2"/>
  </w:num>
  <w:num w:numId="2" w16cid:durableId="891769716">
    <w:abstractNumId w:val="4"/>
  </w:num>
  <w:num w:numId="3" w16cid:durableId="851070843">
    <w:abstractNumId w:val="7"/>
  </w:num>
  <w:num w:numId="4" w16cid:durableId="1023749766">
    <w:abstractNumId w:val="8"/>
  </w:num>
  <w:num w:numId="5" w16cid:durableId="66080841">
    <w:abstractNumId w:val="0"/>
  </w:num>
  <w:num w:numId="6" w16cid:durableId="1698387759">
    <w:abstractNumId w:val="5"/>
  </w:num>
  <w:num w:numId="7" w16cid:durableId="775716065">
    <w:abstractNumId w:val="9"/>
  </w:num>
  <w:num w:numId="8" w16cid:durableId="500000187">
    <w:abstractNumId w:val="3"/>
  </w:num>
  <w:num w:numId="9" w16cid:durableId="606693921">
    <w:abstractNumId w:val="1"/>
  </w:num>
  <w:num w:numId="10" w16cid:durableId="1474132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6F"/>
    <w:rsid w:val="003D347D"/>
    <w:rsid w:val="005F0F65"/>
    <w:rsid w:val="00650EDC"/>
    <w:rsid w:val="00663A04"/>
    <w:rsid w:val="00902A6F"/>
    <w:rsid w:val="009B07C1"/>
    <w:rsid w:val="009B59DA"/>
    <w:rsid w:val="00B27BB8"/>
    <w:rsid w:val="00B60B45"/>
    <w:rsid w:val="00C93B6A"/>
    <w:rsid w:val="00E43E6F"/>
    <w:rsid w:val="00E7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532F"/>
  <w15:chartTrackingRefBased/>
  <w15:docId w15:val="{059F1370-C3C3-4AE7-AA98-3910904A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(FA23-BAI-027) MUHAMMAD ARHAM TAHIR</dc:creator>
  <cp:keywords/>
  <dc:description/>
  <cp:lastModifiedBy>(FA23-BAI-027) MUHAMMAD ARHAM TAHIR</cp:lastModifiedBy>
  <cp:revision>6</cp:revision>
  <dcterms:created xsi:type="dcterms:W3CDTF">2026-03-01T12:36:00Z</dcterms:created>
  <dcterms:modified xsi:type="dcterms:W3CDTF">2026-03-01T19:45:00Z</dcterms:modified>
</cp:coreProperties>
</file>