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Calibri" w:cs="Calibri" w:eastAsia="Calibri" w:hAnsi="Calibri"/>
          <w:b/>
          <w:bCs/>
          <w:color w:val="0F0F0D"/>
          <w:sz w:val="80"/>
          <w:szCs w:val="80"/>
        </w:rPr>
        <w:t xml:space="preserve">Omni</w:t>
      </w:r>
      <w:r>
        <w:rPr>
          <w:rFonts w:ascii="Calibri" w:cs="Calibri" w:eastAsia="Calibri" w:hAnsi="Calibri"/>
          <w:b/>
          <w:bCs/>
          <w:color w:val="8B7355"/>
          <w:sz w:val="80"/>
          <w:szCs w:val="80"/>
        </w:rPr>
        <w:t xml:space="preserve">te</w:t>
      </w:r>
      <w:r>
        <w:rPr>
          <w:rFonts w:ascii="Calibri" w:cs="Calibri" w:eastAsia="Calibri" w:hAnsi="Calibri"/>
          <w:b/>
          <w:bCs/>
          <w:color w:val="0F0F0D"/>
          <w:sz w:val="80"/>
          <w:szCs w:val="80"/>
        </w:rPr>
        <w:t xml:space="preserve">X</w:t>
      </w:r>
    </w:p>
    <w:p>
      <w:pPr>
        <w:spacing w:after="80" w:before="0"/>
      </w:pPr>
      <w:r>
        <w:rPr>
          <w:rFonts w:ascii="Calibri" w:cs="Calibri" w:eastAsia="Calibri" w:hAnsi="Calibri"/>
          <w:color w:val="9C8E75"/>
          <w:sz w:val="40"/>
          <w:szCs w:val="40"/>
        </w:rPr>
        <w:t xml:space="preserve">Brand Guidelines</w:t>
      </w:r>
    </w:p>
    <w:p>
      <w:pPr>
        <w:spacing w:after="60" w:before="0"/>
      </w:pPr>
      <w:r>
        <w:rPr>
          <w:rFonts w:ascii="Calibri" w:cs="Calibri" w:eastAsia="Calibri" w:hAnsi="Calibri"/>
          <w:color w:val="9C8E75"/>
          <w:sz w:val="20"/>
          <w:szCs w:val="20"/>
        </w:rPr>
        <w:t xml:space="preserve">Version 1.0  ·  Confidential</w:t>
      </w:r>
    </w:p>
    <w:p>
      <w:pPr>
        <w:pBdr>
          <w:bottom w:val="single" w:color="E0DDD4" w:sz="4"/>
        </w:pBdr>
        <w:spacing w:after="240" w:before="240"/>
      </w:pPr>
    </w:p>
    <w:p>
      <w:pPr>
        <w:spacing w:after="80" w:before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This document governs the visual identity of OmniteX and its products, beginning with TwinLab. These guidelines apply to all materials — presentations, digital products, printed collateral, and social media.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01  Brand foundations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Mission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OmniteX builds precise, systems-first technology for engineers and industries that the world depends on. We start with Pakistan — and build from there.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Archetype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The Engineer. Precise. Quiet authority. Systems-thinking. We are not a hype company. We do not shout. Our work speaks through clarity and reliability.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Trait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Precise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 use exact numbers, clear claims, and no filler words.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Confident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 do not hedge unnecessarily. We have done the work.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Restrained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 never decorate. Every element earns its place.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Grounded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 acknowledge Pakistan's real constraints — and solve within them.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Forward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 build for where engineering is going, not where it has been.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02  Brand hierarchy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OmniteX is the company. TwinLab is its first product. All future products launch under OmniteX.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0F0D"/>
          <w:sz w:val="24"/>
          <w:szCs w:val="24"/>
        </w:rPr>
        <w:t xml:space="preserve">OmniteX  (company)</w:t>
      </w:r>
    </w:p>
    <w:p>
      <w:pPr>
        <w:spacing w:after="60" w:before="0"/>
      </w:pPr>
      <w:r>
        <w:rPr>
          <w:rFonts w:ascii="Calibri" w:cs="Calibri" w:eastAsia="Calibri" w:hAnsi="Calibri"/>
          <w:color w:val="2A7A8A"/>
          <w:sz w:val="22"/>
          <w:szCs w:val="22"/>
        </w:rPr>
        <w:t xml:space="preserve">    └─  TwinLab Edu  —  Engineering students &amp; universities</w:t>
      </w:r>
    </w:p>
    <w:p>
      <w:pPr>
        <w:spacing w:after="60" w:before="0"/>
      </w:pPr>
      <w:r>
        <w:rPr>
          <w:rFonts w:ascii="Calibri" w:cs="Calibri" w:eastAsia="Calibri" w:hAnsi="Calibri"/>
          <w:color w:val="1A3A5C"/>
          <w:sz w:val="22"/>
          <w:szCs w:val="22"/>
        </w:rPr>
        <w:t xml:space="preserve">    └─  TwinLab Pro  —  Pakistani SME factories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9C8E75"/>
          <w:sz w:val="22"/>
          <w:szCs w:val="22"/>
        </w:rPr>
        <w:t xml:space="preserve">    └─  [Future products]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Pitch rule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Lead with the product. Back it with the company.</w:t>
      </w:r>
    </w:p>
    <w:p>
      <w:pPr>
        <w:pBdr>
          <w:left w:val="single" w:color="2A7A8A" w:sz="12"/>
        </w:pBdr>
        <w:spacing w:after="200" w:before="100"/>
        <w:ind w:left="3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"I'm building TwinLab — a digital twin platform for engineering education and SME factories in Pakistan. It's the first product from OmniteX, which we're building to be Pakistan's AI infrastructure layer for physical industries."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03  Logo system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OmniteX icon mark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The convergence mark. Four corner squares represent OmniteX's product portfolio. The central overlapping square is the company's shared engine — the core that powers everything. Ochre squares are the brand's distinctive signature.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C8E75"/>
          <w:sz w:val="16"/>
          <w:szCs w:val="16"/>
        </w:rPr>
        <w:t xml:space="preserve">ICON MARK CONCEPT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Four squares arranged in a 2×2 grid with a fifth overlapping square at the center. The two ochre squares sit diagonally opposite, creating visual tension and balance. The center square's cutout reveals the background.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TwinLab icon mark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The mirror node. Two rectangular panels side by side — the physical system (navy, solid) mirrored by its digital twin (teal, lighter). The shared vertical gap between them is the synchronisation channel.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Wordmarks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C8E75"/>
          <w:sz w:val="16"/>
          <w:szCs w:val="16"/>
        </w:rPr>
        <w:t xml:space="preserve">OMNITEX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The typeface is a geometric sans-serif set at −350 tracking. The 'te' character pair is coloured Ochre (#8B7355) on all backgrounds — this is the only typographic colour break in the wordmark.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C8E75"/>
          <w:sz w:val="16"/>
          <w:szCs w:val="16"/>
        </w:rPr>
        <w:t xml:space="preserve">TWINLAB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'Twin' is set in Deep Navy (#1A3A5C). 'Lab' is set in Teal (#2A7A8A). Product variant is appended as a badge tag (EDU or PRO) — never merged into the wordmark letterforms.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C8E75"/>
          <w:sz w:val="16"/>
          <w:szCs w:val="16"/>
        </w:rPr>
        <w:t xml:space="preserve">PARENT ATTRIBUTION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All TwinLab materials carry 'by OmniteX' in 9pt Warm Gray, top-right corner on slides, footer on documents.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Lockup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Minimum icon size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20px at screen. Never smaller — detail collapses below this point.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Minimum lockup size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120px wide for horizontal wordmark. 80px for icon + name stacked.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Clear space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Maintain padding equal to the cap-height of the 'X' on all four sides.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Approved backgrounds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Cream #FAF8F3, Ink #0F0F0D, White #FFFFFF only.</w:t>
            </w:r>
          </w:p>
        </w:tc>
      </w:tr>
      <w:tr>
        <w:tc>
          <w:tcPr>
            <w:tcW w:type="dxa" w:w="312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Icon-only usage</w:t>
            </w:r>
          </w:p>
        </w:tc>
        <w:tc>
          <w:tcPr>
            <w:tcW w:type="dxa" w:w="624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Acceptable at 32px+ when context makes the brand clear (app icon, favicon, watermark).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Never do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Stretch, rotate, skew, or add effects to either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Recolour the ochre accent in OmniteX or change 'te' to match a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Place either logo on a coloured, patterned, or photographic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Use the ochre squares as standalone decorative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Use the TwinLab badge (EDU / PRO) without the wordmark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04  Colour palette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OmniteX — company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Name / Hex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0F0F0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Ink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#0F0F0D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Primary background (dark), primary text on light surfaces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2C2B2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Carbon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#2C2B27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Secondary dark surface, hover states on dark UI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8B73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Ochre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#8B7355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Brand accent — used exclusively on the 'te' in OmniteX wordmark and icon diagonal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5F2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Linen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#F5F2EC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Primary text on dark surfaces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9C8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Warm Gray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#9C8E75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Secondary text, captions, dividers, parent attributions</w:t>
            </w:r>
          </w:p>
        </w:tc>
      </w:tr>
    </w:tbl>
    <w:p>
      <w:pPr>
        <w:spacing w:after="120" w:before="3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TwinLab — product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Name / Hex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Deep Navy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#1A3A5C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'Twin' wordmark, PRO badge, data headers, primary headings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2A7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Teal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#2A7A8A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'Lab' wordmark, EDU badge, accent lines, teal data callouts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EA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Mist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#EAF4F7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EDU badge background, teal-tinted surface fills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F8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Cream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#FAF8F3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Primary slide and document background — the brand's canvas</w:t>
            </w:r>
          </w:p>
        </w:tc>
      </w:tr>
      <w:tr>
        <w:tc>
          <w:tcPr>
            <w:tcW w:type="dxa" w:w="12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9C8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Warm Gray</w:t>
            </w:r>
          </w:p>
          <w:p>
            <w:r>
              <w:rPr>
                <w:rFonts w:ascii="Calibri" w:cs="Calibri" w:eastAsia="Calibri" w:hAnsi="Calibri"/>
                <w:color w:val="9C8E75"/>
                <w:sz w:val="18"/>
                <w:szCs w:val="18"/>
              </w:rPr>
              <w:t xml:space="preserve">#9C8E75</w:t>
            </w:r>
          </w:p>
        </w:tc>
        <w:tc>
          <w:tcPr>
            <w:tcW w:type="dxa" w:w="57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Shared with OmniteX — captions, source credits, sub-labels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Colour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Cream (#FAF8F3) is the universal canvas for all TwinLab materials. Never swap it for pure white on presentation slides.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accent bar on presentation slides runs Navy → Teal left to right across the slide bottom, 3pt height.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Numbers and statistics use Navy or Teal — never plain black — to maintain brand presence in data-heavy slides.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place two chromatic colours side by side without a Warm Gray or Cream buffer zone.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05  Typography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Primary typeface — Plus Jakarta Sans / Inter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Use for all headings, UI labels, presentation slide text, and marketing copy. Both are geometric sans-serif typefaces with strong legibility at small sizes and confident presence at large display sizes.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If neither is available (e.g. in Microsoft Office environments), use Calibri as the system fallback. Never use Arial, Helvetica, or Times New Roman on OmniteX or TwinLab materials.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Size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18"/>
                <w:szCs w:val="18"/>
              </w:rPr>
              <w:t xml:space="preserve">Weight / Notes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Slide H1 / Hero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40–48pt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500 Medium. Tracking −0.03em. Navy or Ink.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Slide H2 / Section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28–32pt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500 Medium. Tracking −0.02em. Navy.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Slide H3 / Sub-section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20–24pt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500 Medium. Ink.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Slide body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14–16pt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400 Regular. Warm Gray. Line height 1.65.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Slide caption / source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10–12pt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400 Regular. Warm Gray italic.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Document heading 1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22pt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Bold. Ink.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Document heading 2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16pt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Bold. Navy.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Document body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11pt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Regular. Dark gray. Line height 1.6.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Stat callout / number</w:t>
            </w:r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36–60pt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500 Medium. Navy or Teal. Tight tracking.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Secondary typeface — DM Mono / JetBrains Mono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Use exclusively for code snippets, data readouts, dashboard metric values, terminal elements, and version strings (e.g. twin_v1.0.0). Never use a monospace font for body copy or headings.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Typography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Sentence case on all headings, labels, and UI text. Never all-caps except in category labels (LABEL style, 9pt, tracked out).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Two weights only across all materials: 400 Regular and 500 Medium. Never bold-heavy (600/700) in digital interfaces.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Left-align all body text. Centre only hero display text on title slides.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Minimum font size: 10pt in print, 12px on screen.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06  Presentation system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Slide anatomy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Every slide in the OmniteX / TwinLab system follows this 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Background: Cream #FAF8F3 (never pure white)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Eyebrow: 10pt Warm Gray, all-caps, tracked out — identifies the deck section (e.g. PROBLEM STATEMENT)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Title: 40pt Navy, medium weight, sentence case, tight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Body: 14–16pt Warm Gray, left-aligned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Stat callouts: large number in Navy or Teal, small label below in Warm Gray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Bottom accent bar: 3pt, runs Navy → Teal, left-anchored, 40% width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Top-right corner: OmniteX wordmark in 11pt Warm Gray (or TwinLab + 'by OmniteX')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Slide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0F0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Title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Large wordmark centred or left. Hero headline. Presenter name + role in Warm Gray. OmniteX mark top-right. No bullet text.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Problem / insight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3-column card layout. Stat callout (large number) above card title. Source citation at 10pt Warm Gray italic.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Solution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Two-column: product variants side by side. Shared engine diagram in the centre column.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Market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TAM / SAM / SOM in three bordered cards. Pricing table below. Competitor comparison table.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Team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Initials avatar (circle, Navy fill, Linen text). Name, role, skills listed as small tags.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Roadmap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Four numbered phases in a horizontal flow. Phase number in Teal circle. Status tag: ACTIVE, PLANNED, or VISION.</w:t>
            </w:r>
          </w:p>
        </w:tc>
      </w:tr>
      <w:tr>
        <w:tc>
          <w:tcPr>
            <w:tcW w:type="dxa" w:w="28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Thank you slide</w:t>
            </w:r>
          </w:p>
        </w:tc>
        <w:tc>
          <w:tcPr>
            <w:tcW w:type="dxa" w:w="64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OmniteX mark large, centred. Contact row in Warm Gray. Tagline in italics.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Slide don'ts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use pure white (#FFFFFF) as a slide background — use Cream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add decorative bars, ribbons, or header/footer colour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use more than 3 font sizes on a single slide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centre body text — left-align all paragraphs and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use bullet points on title or conclusion slides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Never place the logo on a coloured background panel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07  Voice &amp; tone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OmniteX voice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OmniteX communicates like an engineer who has done the work. Confident without arrogance. Specific without jargon. Direct without being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A8A"/>
                <w:sz w:val="20"/>
                <w:szCs w:val="20"/>
              </w:rPr>
              <w:t xml:space="preserve">Say this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3C1D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5F2D"/>
                <w:sz w:val="20"/>
                <w:szCs w:val="20"/>
              </w:rPr>
              <w:t xml:space="preserve">One prevented breakdown pays for 2–3 months of TwinLab.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93C1D"/>
                <w:sz w:val="20"/>
                <w:szCs w:val="20"/>
              </w:rPr>
              <w:t xml:space="preserve">We can help save you lots of money on downtime!</w:t>
            </w:r>
          </w:p>
        </w:tc>
      </w:tr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5F2D"/>
                <w:sz w:val="20"/>
                <w:szCs w:val="20"/>
              </w:rPr>
              <w:t xml:space="preserve">97% of Pakistani SMEs run without real-time data.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93C1D"/>
                <w:sz w:val="20"/>
                <w:szCs w:val="20"/>
              </w:rPr>
              <w:t xml:space="preserve">Pakistan's factories have a big problem with digital adoption.</w:t>
            </w:r>
          </w:p>
        </w:tc>
      </w:tr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5F2D"/>
                <w:sz w:val="20"/>
                <w:szCs w:val="20"/>
              </w:rPr>
              <w:t xml:space="preserve">TwinLab Pro monitors your production floor 24/7.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93C1D"/>
                <w:sz w:val="20"/>
                <w:szCs w:val="20"/>
              </w:rPr>
              <w:t xml:space="preserve">TwinLab Pro is a revolutionary, AI-powered solution.</w:t>
            </w:r>
          </w:p>
        </w:tc>
      </w:tr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5F2D"/>
                <w:sz w:val="20"/>
                <w:szCs w:val="20"/>
              </w:rPr>
              <w:t xml:space="preserve">Phase 1 is in active development.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93C1D"/>
                <w:sz w:val="20"/>
                <w:szCs w:val="20"/>
              </w:rPr>
              <w:t xml:space="preserve">We're working really hard on the first version.</w:t>
            </w:r>
          </w:p>
        </w:tc>
      </w:tr>
      <w:tr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5F2D"/>
                <w:sz w:val="20"/>
                <w:szCs w:val="20"/>
              </w:rPr>
              <w:t xml:space="preserve">Built by engineers. For engineers.</w:t>
            </w:r>
          </w:p>
        </w:tc>
        <w:tc>
          <w:tcPr>
            <w:tcW w:type="dxa" w:w="468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93C1D"/>
                <w:sz w:val="20"/>
                <w:szCs w:val="20"/>
              </w:rPr>
              <w:t xml:space="preserve">We're passionate about technology and innovation!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0F0D"/>
          <w:sz w:val="44"/>
          <w:szCs w:val="44"/>
        </w:rPr>
        <w:t xml:space="preserve">08  Contacts &amp; assets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Founder &amp; brand owner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Muhammad Arham Rajput — Lead Developer &amp; Founder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Email: business.arhamurrahemeen@gmail.com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LinkedIn: linkedin.com/in/muhammad-arham-rajput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GitHub: github.com/Arhamurrahemeen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Phone: +92 313 360 4959</w:t>
      </w:r>
    </w:p>
    <w:p>
      <w:pPr>
        <w:spacing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Asset requests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All logo source files, colour swatches, and slide templates are maintained by the brand owner. For asset access or questions on brand application, contact the founder directly.</w:t>
      </w:r>
    </w:p>
    <w:p>
      <w:pPr>
        <w:pBdr>
          <w:bottom w:val="single" w:color="E0DDD4" w:sz="4"/>
        </w:pBdr>
        <w:spacing w:after="240" w:before="24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F0F0D"/>
          <w:sz w:val="28"/>
          <w:szCs w:val="28"/>
        </w:rPr>
        <w:t xml:space="preserve">Omni</w:t>
      </w:r>
      <w:r>
        <w:rPr>
          <w:rFonts w:ascii="Calibri" w:cs="Calibri" w:eastAsia="Calibri" w:hAnsi="Calibri"/>
          <w:b/>
          <w:bCs/>
          <w:color w:val="8B7355"/>
          <w:sz w:val="28"/>
          <w:szCs w:val="28"/>
        </w:rPr>
        <w:t xml:space="preserve">te</w:t>
      </w:r>
      <w:r>
        <w:rPr>
          <w:rFonts w:ascii="Calibri" w:cs="Calibri" w:eastAsia="Calibri" w:hAnsi="Calibri"/>
          <w:b/>
          <w:bCs/>
          <w:color w:val="0F0F0D"/>
          <w:sz w:val="28"/>
          <w:szCs w:val="28"/>
        </w:rPr>
        <w:t xml:space="preserve">X  ·  Brand Guidelines v1.0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C8E75"/>
          <w:sz w:val="18"/>
          <w:szCs w:val="18"/>
        </w:rPr>
        <w:t xml:space="preserve">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color w:val="2A7A8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720" w:hanging="360"/>
      </w:pPr>
      <w:rPr>
        <w:b/>
        <w:bCs/>
        <w:color w:val="993C1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0F0F0D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A3A5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2026-05-23T14:28:22.815Z</dcterms:created>
  <dcterms:modified xsi:type="dcterms:W3CDTF">2026-05-23T14:28:22.815Z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