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6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</w:trP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/>
        </w:tc>
        <w:tc>
          <w:tcPr>
            <w:tcW w:type="dxa" w:w="4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keepNext/>
              <w:keepLines/>
              <w:spacing w:after="40"/>
              <w:jc w:val="center"/>
            </w:pPr>
            <w:r>
              <w:rPr>
                <w:rFonts w:ascii="Times New Roman" w:cs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УТВЕРЖДАЮ</w:t>
            </w:r>
          </w:p>
          <w:p>
            <w:pPr>
              <w:keepNext/>
              <w:keepLines/>
              <w:spacing w:after="10"/>
              <w:jc w:val="center"/>
            </w:pPr>
            <w:r>
              <w:rPr>
                <w:rFonts w:ascii="Times New Roman" w:cs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________________________________</w:t>
            </w:r>
          </w:p>
          <w:p>
            <w:pPr>
              <w:keepNext/>
              <w:keepLines/>
              <w:spacing w:after="40"/>
              <w:jc w:val="center"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_____________ / _______________ /</w:t>
            </w:r>
          </w:p>
          <w:p>
            <w:pPr>
              <w:keepLines/>
              <w:spacing w:after="120"/>
              <w:jc w:val="center"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«___» _______ 2026 г.</w:t>
            </w:r>
          </w:p>
        </w:tc>
      </w:tr>
    </w:tbl>
    <w:p>
      <w:pPr>
        <w:keepLines/>
        <w:spacing w:after="80" w:before="0"/>
        <w:jc w:val="center"/>
      </w:pPr>
      <w:r>
        <w:rPr>
          <w:rFonts w:ascii="Times New Roman" w:cs="Times New Roman" w:hAnsi="Times New Roman"/>
          <w:b/>
          <w:bCs/>
          <w:i w:val="false"/>
          <w:iCs w:val="false"/>
          <w:sz w:val="28"/>
          <w:szCs w:val="28"/>
        </w:rPr>
        <w:t xml:space="preserve">Техническое задание</w:t>
      </w:r>
    </w:p>
    <w:p>
      <w:pPr>
        <w:keepLines/>
        <w:spacing w:after="80" w:before="0"/>
        <w:jc w:val="center"/>
      </w:pP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 поставку комплекта товаров (3 позиций)</w:t>
      </w:r>
    </w:p>
    <w:p>
      <w:pPr>
        <w:spacing w:after="160"/>
      </w:pPr>
    </w:p>
    <w:p>
      <w:pPr>
        <w:keepNext/>
        <w:keepLines/>
        <w:spacing w:after="100" w:before="0"/>
        <w:jc w:val="both"/>
      </w:pPr>
      <w:r>
        <w:rPr>
          <w:rFonts w:ascii="Times New Roman" w:cs="Times New Roman" w:hAnsi="Times New Roman"/>
          <w:b/>
          <w:bCs/>
          <w:i w:val="false"/>
          <w:iCs w:val="false"/>
          <w:sz w:val="26"/>
          <w:szCs w:val="26"/>
        </w:rPr>
        <w:t xml:space="preserve">1. Наименование, Заказчик, Исполнитель, сроки выполнения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1.1.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Наименование объекта поставки: комплект товаров (3 позиций) (далее — Товар).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1.2.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Заказчик: _______________________________________________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1.3.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Исполнитель: определяется по результатам закупочных процедур.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1.4.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Сроки выполнения: не позднее 60 (шестьдесят) календарных дней с даты заключения контракта.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1.5.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Перечень поставляемого Товара и сопутствующих параметров приведён в сводной таблице и приложениях № 1–3.</w:t>
      </w:r>
    </w:p>
    <w:p>
      <w:pPr>
        <w:spacing w:after="60"/>
      </w:pPr>
    </w:p>
    <w:tbl>
      <w:tblPr>
        <w:tblW w:type="dxa" w:w="97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400" w:hRule="atLeast"/>
        </w:trPr>
        <w:tc>
          <w:tcPr>
            <w:tcW w:type="dxa" w:w="4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№</w:t>
            </w:r>
          </w:p>
        </w:tc>
        <w:tc>
          <w:tcPr>
            <w:tcW w:type="dxa" w:w="67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Наименование</w:t>
            </w:r>
          </w:p>
        </w:tc>
        <w:tc>
          <w:tcPr>
            <w:tcW w:type="dxa" w:w="1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Кол-</w:t>
            </w:r>
            <w:r>
              <w:br/>
            </w:r>
            <w:r>
              <w:rPr>
                <w:rFonts w:ascii="Times New Roman" w:cs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во</w:t>
            </w:r>
          </w:p>
        </w:tc>
        <w:tc>
          <w:tcPr>
            <w:tcW w:type="dxa" w:w="164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Прил.</w:t>
            </w:r>
            <w:r>
              <w:br/>
            </w:r>
            <w:r>
              <w:rPr>
                <w:rFonts w:ascii="Times New Roman" w:cs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№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67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Системный блок</w:t>
            </w:r>
          </w:p>
        </w:tc>
        <w:tc>
          <w:tcPr>
            <w:tcW w:type="dxa" w:w="1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шт.</w:t>
            </w:r>
          </w:p>
        </w:tc>
        <w:tc>
          <w:tcPr>
            <w:tcW w:type="dxa" w:w="164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Прил. 1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67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Монитор</w:t>
            </w:r>
          </w:p>
        </w:tc>
        <w:tc>
          <w:tcPr>
            <w:tcW w:type="dxa" w:w="1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шт.</w:t>
            </w:r>
          </w:p>
        </w:tc>
        <w:tc>
          <w:tcPr>
            <w:tcW w:type="dxa" w:w="164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Прил. 2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67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DVD-RW / DVD+RW диск</w:t>
            </w:r>
          </w:p>
        </w:tc>
        <w:tc>
          <w:tcPr>
            <w:tcW w:type="dxa" w:w="1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 шт.</w:t>
            </w:r>
          </w:p>
        </w:tc>
        <w:tc>
          <w:tcPr>
            <w:tcW w:type="dxa" w:w="164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Прил. 3</w:t>
            </w:r>
          </w:p>
        </w:tc>
      </w:tr>
    </w:tbl>
    <w:p>
      <w:pPr>
        <w:keepNext/>
        <w:keepLines/>
        <w:spacing w:after="100" w:before="200"/>
        <w:jc w:val="both"/>
      </w:pPr>
      <w:r>
        <w:rPr>
          <w:rFonts w:ascii="Times New Roman" w:cs="Times New Roman" w:hAnsi="Times New Roman"/>
          <w:b/>
          <w:bCs/>
          <w:i w:val="false"/>
          <w:iCs w:val="false"/>
          <w:sz w:val="26"/>
          <w:szCs w:val="26"/>
        </w:rPr>
        <w:t xml:space="preserve">2. Требования к предмету закупки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2.1.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Требования к характеристикам поставляемого Товара представлены в Спецификациях (Приложения № 1–3 к настоящему Техническому заданию).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2.2.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Поставщик обязан осуществить поставку средств вычислительной техники и оборудования, а также комплектующих и расходных материалов к ним (далее — Товар) в порядке и на условиях, предусмотренных Контрактом и настоящим Техническим заданием, а также в соответствии с требованиями нормативных правовых актов, указанных в разделе 7 настоящего Технического задания.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2.3.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Поставляемый Товар должен соответствовать следующим требованиям: техническим и качественным характеристикам, установленным настоящим Техническим заданием; действующим государственным и международным стандартам и актам Российской Федерации; требованиям технических регламентов Таможенного союза (ТР ТС 004/2011 «О безопасности низковольтного оборудования», ТР ТС 020/2011 «Электромагнитная совместимость технических средств»); требованиям пожарной, санитарной и электрической безопасности; стандартам Российской Федерации в части входных и выходных разъёмов и уровней сигналов. В комплект поставки должны входить все интерфейсные шнуры и кабели питания, необходимые для полнофункциональной эксплуатации. Поставляемый Товар, в отношении которого утверждён класс энергетической эффективности, должен соответствовать классу энергетической эффективности не ниже «А». Товар должен быть предназначен для эксплуатации в рабочих помещениях.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2.4.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Для взаимодействия с Заказчиком Поставщик обязан в течение 1 (одного) рабочего дня с даты заключения Контракта назначить ответственное контактное лицо, выделить номер телефона, а также адрес электронной почты для приёма данных (запросов, заявок) в электронной форме и уведомить об этом Заказчика. Об изменении контактной информации ответственного лица Поставщик обязан уведомить Заказчика в течение 1 (одного) рабочего дня со дня возникновения таких изменений.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2.5.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Товар должен быть поставлен в рабочие часы Заказчика: понедельник–четверг с 08:00 до 17:00, пятница с 08:00 до 15:30 по московскому времени, в срок и по адресу, указанному в спецификации. Поставщик вправе досрочно осуществить поставку по согласованию с Заказчиком.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2.6.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Поставщик поставляет Товар в соответствии с пропускным и внутриобъектовым режимами, установленными по адресу поставки, в порядке, согласованном с Заказчиком не позднее чем за 3 (три) рабочих дня до даты фактической поставки. Поставка осуществляется силами и за счёт Поставщика.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2.7.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Поставщик предоставляет Заказчику комплект отчётных документов и электронный структурированный Документ о приёмке, подписанный усиленной квалифицированной электронной подписью (УКЭП) и размещённый в единой информационной системе в сфере закупок (ЕИС). Комплект отчётной документации включает: документы, подтверждающие гарантийные обязательства Поставщика и изготовителя (гарантийные карты) в отношении всех единиц Товара; копии сертификата(-ов) или декларации(-й) о соответствии, подтверждающих соответствие Товара требованиям технических регламентов. Гарантийная карта направляется в электронном виде на адрес электронной почты Заказчика и/или на бумажном носителе при поставке.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2.8.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Поставляемый Товар должен быть обеспечен комплектом документации на русском языке, включающим инструкции по эксплуатации (руководство пользователя, руководство администратора), а также технический паспорт на Товар, если данная документация предусмотрена производителем. Комплектация документацией в виде копий не допускается.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2.9.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Не допускается поставка Товара, имеющего повреждения и/или Товара, условия хранения которого были нарушены.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2.10.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Товар должен быть укомплектован в соответствии с эксплуатационной документацией необходимыми приспособлениями и инструментом для безопасных регулировок, технического обслуживания и применения по назначению.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2.11.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Уборка и вывоз тары, упаковки, вспомогательных упаковочных и укупорочных средств осуществляются Поставщиком за свой счёт в течение 1 (одного) рабочего дня с даты фактической поставки Товара.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2.12.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Товар должен быть свободен от прав третьих лиц.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2.13.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Заказчик вправе в течение 4 (четырёх) календарных дней с даты заключения Контракта направить Поставщику письменное требование о предоставлении в установленный срок (не менее 3 (трёх) календарных дней) по 1 (одной) единице подлежащих поставке Товаров для проверки соответствия Товара требованиям Технического задания.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2.14.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Товар должен иметь подтверждение производства промышленной продукции на территории Российской Федерации (номера реестровых записей из реестра российской промышленной продукции или евразийского реестра промышленной продукции) в соответствии с ПП РФ от 23.12.2024 № 1875 и ПП РФ от 17.07.2015 № 719.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2.15.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Промышленные товары должны иметь подтверждение производства на территории государств — членов ЕАЭС. Подтверждение осуществляется документами в соответствии с ПП РФ от 23.12.2024 № 1875 и ПП РФ от 17.07.2015 № 719.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2.16.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Вычислительная техника должна быть совместима с отечественными операционными системами, включёнными в Единый реестр российских программ для ЭВМ и БД Минцифры России, или эквивалентными (ч. 3 ст. 33 Федерального закона от 05.04.2013 № 44-ФЗ).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2.17.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Цена Договора является твёрдой и определяется на весь срок исполнения Договора.</w:t>
      </w:r>
    </w:p>
    <w:p>
      <w:pPr>
        <w:keepNext/>
        <w:keepLines/>
        <w:spacing w:after="100" w:before="200"/>
        <w:jc w:val="both"/>
      </w:pPr>
      <w:r>
        <w:rPr>
          <w:rFonts w:ascii="Times New Roman" w:cs="Times New Roman" w:hAnsi="Times New Roman"/>
          <w:b/>
          <w:bCs/>
          <w:i w:val="false"/>
          <w:iCs w:val="false"/>
          <w:sz w:val="26"/>
          <w:szCs w:val="26"/>
        </w:rPr>
        <w:t xml:space="preserve">3. Требования к пуско-наладочным работам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3.1.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Пуско-наладочные работы не требуются.</w:t>
      </w:r>
    </w:p>
    <w:p>
      <w:pPr>
        <w:keepNext/>
        <w:keepLines/>
        <w:spacing w:after="100" w:before="200"/>
        <w:jc w:val="both"/>
      </w:pPr>
      <w:r>
        <w:rPr>
          <w:rFonts w:ascii="Times New Roman" w:cs="Times New Roman" w:hAnsi="Times New Roman"/>
          <w:b/>
          <w:bCs/>
          <w:i w:val="false"/>
          <w:iCs w:val="false"/>
          <w:sz w:val="26"/>
          <w:szCs w:val="26"/>
        </w:rPr>
        <w:t xml:space="preserve">4. Требования к сроку предоставления гарантии качества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4.1.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Поставщик обязан предоставить Заказчику документы, подтверждающие гарантийные обязательства производителя Товара (гарантийные карты), составленные на все единицы поставляемого Товара, на срок не менее 12 (двенадцати) месяцев, если иной срок не указан в Спецификации. Гарантийная карта направляется в электронном виде посредством электронной почты и/или на бумажном носителе при поставке. Гарантийное обслуживание осуществляется на территории Российской Федерации в авторизованных сервисных центрах производителя или силами Поставщика.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4.2.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Поставщик обязан предоставить Заказчику копии сертификата(-ов) или декларации(-й) о соответствии, подтверждающих соответствие Товара требованиям технических регламентов Таможенного союза.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4.3.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Поставщик в срок не позднее 5 (пяти) рабочих дней после фактической поставки Товара (исполнения обязательств) представляет Заказчику Документ о приёмке в электронной форме, подписанный усиленной квалифицированной электронной подписью (УКЭП) лица, имеющего право действовать от имени Поставщика, и размещает его в единой информационной системе в сфере закупок (ЕИС).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4.4.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Не позднее 20 (двадцати) рабочих дней после получения Документа о приёмке Заказчик рассматривает результаты и подписывает УКЭП и размещает в ЕИС Документ о приёмке либо формирует и размещает в ЕИС мотивированный отказ с указанием причин. Для проверки соответствия поставленного Товара условиям Контракта Заказчик проводит экспертизу своими силами или с привлечением экспертов.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4.5.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 течение срока гарантии Поставщик гарантирует надлежащее качество Товара. В случае обнаружения дефектов Поставщик обязан в течение 15 (пятнадцати) рабочих дней с момента получения уведомления устранить неисправность или произвести замену Товара аналогичными характеристиками или выше. Все мероприятия гарантийного обслуживания (доставка, погрузка, разгрузка) осуществляются силами и за счёт Поставщика.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4.6.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Если Поставщик не устраняет недостатки в установленные сроки, Заказчик вправе произвести замену Товара и устранить недостатки силами третьих лиц за счёт Поставщика.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4.7.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Дата выпуска поставляемого Товара должна быть не ранее 1 января 2026 г. Актуальность версии подтверждается серийным номером или сопроводительными документами производителя.</w:t>
      </w:r>
    </w:p>
    <w:p>
      <w:pPr>
        <w:keepNext/>
        <w:keepLines/>
        <w:spacing w:after="100" w:before="200"/>
        <w:jc w:val="both"/>
      </w:pPr>
      <w:r>
        <w:rPr>
          <w:rFonts w:ascii="Times New Roman" w:cs="Times New Roman" w:hAnsi="Times New Roman"/>
          <w:b/>
          <w:bCs/>
          <w:i w:val="false"/>
          <w:iCs w:val="false"/>
          <w:sz w:val="26"/>
          <w:szCs w:val="26"/>
        </w:rPr>
        <w:t xml:space="preserve">5. Требования к таре и упаковке товара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5.1.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Поставщик обязан поставить Товар в таре и упаковке, обеспечивающей его сохранность, товарный вид и предохраняющей от повреждений при транспортировке.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5.2.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Товар должен быть упакован и маркирован в соответствии с технической (эксплуатационной) документацией производителя. Вся маркировка должна быть нанесена способом, обеспечивающим чёткость и сохранность надписей в течение всего срока эксплуатации.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5.3.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Упаковка должна обеспечивать защиту от воздействия механических и климатических факторов во время транспортирования и хранения поставляемого Товара.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5.4.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Упаковка должна исключать перемещение Товара в таре при доставке (отгрузке), а также способна предотвратить его повреждение или порчу.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5.5.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Эксплуатационная документация (при её наличии) должна быть вложена в потребительскую тару или транспортную тару вместе с Товаром.</w:t>
      </w:r>
    </w:p>
    <w:p>
      <w:pPr>
        <w:keepNext/>
        <w:keepLines/>
        <w:spacing w:after="100" w:before="200"/>
        <w:jc w:val="both"/>
      </w:pPr>
      <w:r>
        <w:rPr>
          <w:rFonts w:ascii="Times New Roman" w:cs="Times New Roman" w:hAnsi="Times New Roman"/>
          <w:b/>
          <w:bCs/>
          <w:i w:val="false"/>
          <w:iCs w:val="false"/>
          <w:sz w:val="26"/>
          <w:szCs w:val="26"/>
        </w:rPr>
        <w:t xml:space="preserve">6. Место, сроки и условия поставки товара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6.1.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Место доставки Товара: _______________________________________________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6.2.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Срок поставки Товара: не более 60 (шестьдесят) календарных дней с даты заключения контракта.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6.3.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Поставщик обязан согласовать с Заказчиком (представителем Заказчика) дату и время поставки Товара не позднее чем за 2 (два) рабочих дня до даты поставки.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6.4.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Поставка осуществляется в рабочее время Заказчика (понедельник–четверг с 08:00 до 17:00, пятница с 08:00 до 15:30 по московскому времени, исключение — выходные и праздничные дни). Поставщик за счёт собственных средств осуществляет доставку, разгрузку и подъём Товара до места эксплуатации.</w:t>
      </w:r>
    </w:p>
    <w:p>
      <w:pPr>
        <w:keepNext/>
        <w:keepLines/>
        <w:spacing w:after="100" w:before="200"/>
        <w:jc w:val="both"/>
      </w:pPr>
      <w:r>
        <w:rPr>
          <w:rFonts w:ascii="Times New Roman" w:cs="Times New Roman" w:hAnsi="Times New Roman"/>
          <w:b/>
          <w:bCs/>
          <w:i w:val="false"/>
          <w:iCs w:val="false"/>
          <w:sz w:val="26"/>
          <w:szCs w:val="26"/>
        </w:rPr>
        <w:t xml:space="preserve">7. Перечень нормативных правовых актов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7.1.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Федеральный закон от 05.04.2013 № 44-ФЗ «О контрактной системе в сфере закупок товаров, работ, услуг для обеспечения государственных и муниципальных нужд»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7.2.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Постановление Правительства РФ от 23.12.2024 № 1875 «О мерах по обеспечению приоритетного использования российских товаров, работ и услуг»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7.3.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Технический регламент Таможенного союза «О безопасности низковольтного оборудования» (ТР ТС 004/2011)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7.4.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Технический регламент Таможенного союза «Электромагнитная совместимость технических средств» (ТР ТС 020/2011)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7.5.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Постановление Правительства РФ от 17.07.2015 № 719 «О подтверждении производства промышленной продукции на территории Российской Федерации»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7.6.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Решение Совета Евразийской экономической комиссии от 23.11.2020 № 105 «О Перечне радиоэлектронной продукции, происходящей из иностранных государств, в отношении которой устанавливаются ограничения допуска для целей осуществления закупок»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7.7.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Постановление Правительства РФ от 31.12.2020 № 2463 «Об утверждении правил продажи товаров по договору розничной купли-продажи» (в части требований к сопроводительной документации)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7.8.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Постановление Правительства РФ от 26.09.1994 № 1090 и иные акты об энергетической эффективности товаров (в части требования к классу энергетической эффективности не ниже «А»)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7.9.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ГОСТ Р 55062-2012 «Информационные технологии. Системы промышленной автоматизации и интеграция. Совместимость оборудования» (при применимости)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7.10.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ГОСТ 12.2.007.0-75 «Изделия электротехнические. Общие требования безопасности»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7.11.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ГОСТ Р 51318.22-2006 / ГОСТ Р 51317.3.2-2006 «Требования электромагнитной совместимости технических средств»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7.12.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Приказ Министерства финансов Российской Федерации от 04.06.2018 № 126н «Об условиях допуска товаров, происходящих из иностранного государства или группы иностранных государств, для целей осуществления закупок»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7.13.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Федеральный закон от 06.04.2011 № 63-ФЗ «Об электронной подписи» (в части требований к применению УКЭП при оформлении Документа о приёмке в ЕИС)</w:t>
      </w:r>
    </w:p>
    <w:p>
      <w:pPr>
        <w:keepLines/>
        <w:spacing w:after="100"/>
        <w:jc w:val="both"/>
      </w:pPr>
      <w:r>
        <w:rPr>
          <w:rFonts w:ascii="Times New Roman" w:cs="Times New Roman" w:hAnsi="Times New Roman"/>
          <w:b/>
          <w:bCs/>
          <w:sz w:val="22"/>
          <w:szCs w:val="22"/>
        </w:rPr>
        <w:t xml:space="preserve">7.14. </w:t>
      </w: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Решение Федеральной антимонопольной службы России (ФАС) и правоприменительная практика в части требований к описанию объекта закупки (ст. 33 44-ФЗ): запрет на ограничение конкуренции, обязательное указание «или эквивалент» при ссылке на товарный знак</w:t>
      </w:r>
    </w:p>
    <w:p>
      <w:pPr>
        <w:pageBreakBefore/>
      </w:pPr>
    </w:p>
    <w:p>
      <w:pPr>
        <w:keepLines/>
        <w:spacing w:after="80" w:before="0"/>
        <w:jc w:val="center"/>
      </w:pPr>
      <w:r>
        <w:rPr>
          <w:rFonts w:ascii="Times New Roman" w:cs="Times New Roman" w:hAnsi="Times New Roman"/>
          <w:b/>
          <w:bCs/>
          <w:i w:val="false"/>
          <w:iCs w:val="false"/>
          <w:sz w:val="24"/>
          <w:szCs w:val="24"/>
        </w:rPr>
        <w:t xml:space="preserve">Приложение № 1</w:t>
      </w:r>
    </w:p>
    <w:p>
      <w:pPr>
        <w:spacing w:after="40"/>
      </w:pPr>
    </w:p>
    <w:p>
      <w:pPr>
        <w:keepLines/>
        <w:spacing w:after="80" w:before="0"/>
        <w:jc w:val="center"/>
      </w:pP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Требования к техническим характеристикам поставляемого товара</w:t>
      </w:r>
    </w:p>
    <w:p>
      <w:pPr>
        <w:spacing w:after="100"/>
      </w:pPr>
    </w:p>
    <w:tbl>
      <w:tblPr>
        <w:tblW w:type="dxa" w:w="97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Системный блок</w:t>
            </w:r>
          </w:p>
        </w:tc>
      </w:tr>
      <w:tr>
        <w:trPr>
          <w:cantSplit/>
          <w:tblHeader/>
          <w:trHeight w:val="400" w:hRule="atLeast"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Наименование характеристики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Значение характеристики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Единица измерения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Общие сведения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устройства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Персональный компьютер, системный блок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Форм-фактор корпуса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Компактный (SFF) или ультракомпактный (USFF)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Материал корпуса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Металл или пластик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Цвет корпуса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Тёмных или светлых тонов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Процессор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Архитектура процессора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x86-64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Количество ядер процессора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4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шт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Количество потоков процессора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8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шт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Базовая тактовая частота процессора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2.4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ГГц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Максимальная тактовая частота процессора (турбо)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3.5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ГГц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Объём кэш-памяти L3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8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МБ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Тепловыделение процессора (TDP)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более 65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Вт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Оперативная память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оперативной памяти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DDR4 или DDR5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Объём оперативной памяти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8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ГБ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Частота оперативной памяти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2400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МГц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Количество установленных модулей памяти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1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шт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Количество слотов для оперативной памяти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2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шт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Максимальный поддерживаемый объём оперативной памяти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32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ГБ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Накопитель данных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основного накопителя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SSD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Интерфейс основного накопителя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NVMe или SATA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Объём основного накопителя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256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ГБ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Форм-фактор основного накопителя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M.2 2280 или 2.5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Количество внутренних отсеков 2.5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1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шт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Графическая подсистема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графического адаптера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Интегрированный в процессор или дискретный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Количество поддерживаемых мониторов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2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шт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Интерфейсы и разъёмы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Количество портов USB 3.2 Gen 1 (или выше) на задней панели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4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шт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Количество портов USB Type-C на задней панели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1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шт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Количество видеовыходов HDMI на задней панели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1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шт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Количество видеовыходов DisplayPort на задней панели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1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шт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Сетевой интерфейс Ethernet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1 Гбит/с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Беспроводной интерфейс Wi-Fi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ниже стандарта IEEE 802.11ac (Wi-Fi 5)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Беспроводной интерфейс Bluetooth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ниже версии 4.2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Аудиоразъём 3.5 мм на передней/задней панели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1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шт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Питание и энергопотребление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блока питания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Внешний или внутренний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Мощность блока питания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90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Вт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Потребляемая мощность в режиме работы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более 65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Вт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Потребляемая мощность в режиме ожидания (S3)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более 5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Вт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Надёжность и условия эксплуатации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Гарантийный срок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36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мес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Диапазон рабочих температур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 +5 до +35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°C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Диапазон рабочих температур при хранении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 -20 до +60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°C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Диапазон рабочей влажности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 20% до 80% без конденсации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Уровень звукового давления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более 30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дБА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 с отечественными ОС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Astra Linux, ALT Linux, РЕД ОС или эквивалентные операционные системы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Интерфейсы и коммуникации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Сетевой интерфейс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Ethernet RJ‑45 не ниже 1 Гбит/с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порт</w:t>
            </w:r>
          </w:p>
        </w:tc>
      </w:tr>
    </w:tbl>
    <w:p>
      <w:pPr>
        <w:pageBreakBefore/>
      </w:pPr>
    </w:p>
    <w:p>
      <w:pPr>
        <w:keepLines/>
        <w:spacing w:after="80" w:before="0"/>
        <w:jc w:val="center"/>
      </w:pPr>
      <w:r>
        <w:rPr>
          <w:rFonts w:ascii="Times New Roman" w:cs="Times New Roman" w:hAnsi="Times New Roman"/>
          <w:b/>
          <w:bCs/>
          <w:i w:val="false"/>
          <w:iCs w:val="false"/>
          <w:sz w:val="24"/>
          <w:szCs w:val="24"/>
        </w:rPr>
        <w:t xml:space="preserve">Приложение № 2</w:t>
      </w:r>
    </w:p>
    <w:p>
      <w:pPr>
        <w:spacing w:after="40"/>
      </w:pPr>
    </w:p>
    <w:p>
      <w:pPr>
        <w:keepLines/>
        <w:spacing w:after="80" w:before="0"/>
        <w:jc w:val="center"/>
      </w:pP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Требования к техническим характеристикам поставляемого товара</w:t>
      </w:r>
    </w:p>
    <w:p>
      <w:pPr>
        <w:spacing w:after="100"/>
      </w:pPr>
    </w:p>
    <w:tbl>
      <w:tblPr>
        <w:tblW w:type="dxa" w:w="97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Монитор</w:t>
            </w:r>
          </w:p>
        </w:tc>
      </w:tr>
      <w:tr>
        <w:trPr>
          <w:cantSplit/>
          <w:tblHeader/>
          <w:trHeight w:val="400" w:hRule="atLeast"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Наименование характеристики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Значение характеристики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Единица измерения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Общие сведения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устройства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Монитор компьютерный с плоским экраном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Назначение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Для отображения графической и текстовой информации от персонального компьютера или совместимого источника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Экран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Диагональ экрана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27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дюймов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Разрешение экрана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2560 x 1440 (QHD)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пикс.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матрицы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IPS, VA, PLS или эквивалентная технология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Яркость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300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кд/м²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Статическая контрастность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1000:1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Время отклика (GtG)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более 5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мс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Угол обзора по горизонтали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178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°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Угол обзора по вертикали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178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°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Частота обновления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60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Гц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Цветовой охват sRGB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99%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%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Технология защиты зрения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Flicker-Free (без мерцания) и фильтр синего света или эквивалентная технология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Покрытие экрана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Матовое, антибликовое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Интерфейсы и подключение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Видеовход HDMI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1 порта, версия не ниже 1.4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шт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Видеовход DisplayPort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1 порта, версия не ниже 1.2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шт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Аудиовыход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Разъём 3.5 мм mini-jack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Порт USB Type-C с поддержкой DisplayPort Alt Mode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1 порта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шт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USB-концентратор (хаб)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2 портов USB Type-A, версия не ниже 3.0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Встроенные динамики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2, суммарная мощность не менее 2 Вт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Эргономика и крепление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Регулировка высоты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100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Регулировка наклона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 -5° до +20°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°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Регулировка поворота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-30° до +30°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°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Портретный режим (Pivot)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поворот на 90° по часовой стрелке и против часовой стрелки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Крепление VESA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100 x 100 мм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мм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Питание и энергоэффективность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Потребляемая мощность (рабочий режим)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более 30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Вт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Потребляемая мощность (режим ожидания)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более 0.5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Вт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Класс энергоэффективности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ниже A [!] Требуется более конкретное и проверяемое значение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класс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Физические характеристики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Габариты с подставкой (ШxВxГ)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более 620 x 550 x 250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Масса с подставкой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более 7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кг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Комплектация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Кабель питания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 комплекте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Кабель HDMI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 комплекте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Кабель DisplayPort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 комплекте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Надёжность и гарантия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Гарантийный срок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36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мес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Срок службы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30000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ч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Диапазон рабочих температур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 +5 до +40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°C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 с операционными системами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Microsoft Windows, Astra Linux, РЕД ОС, ALT Linux или эквивалент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Монтаж и размещение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Антибликовое исполнение / эргономика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мер, снижающих блики и обеспечивающих длительную эксплуатацию без ухудшения качества изображения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Интерфейсы и подключение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Встроенный аудиовход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Разъём 3.5 мм mini-jack для подключения внешнего аудиоисточника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Изображение и звук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технологии адаптивной синхронизации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FreeSync, G-SYNC Compatible или эквивалентная технология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Режимы изображения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предустановленных режимов (например, Стандартный, Кино, Игры, Текст)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Монтаж и размещение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Стандартное крепление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штатной подставки для настольного размещения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Альтернативное крепление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Возможность установки на кронштейн или стойку с использованием интерфейса VESA 100x100 мм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Дополнительные характеристики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технологии Plug and Play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 со стандартом DDC/CI и поддержка EDID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соответствие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Уровень звукового давления (SPL) встроенных динамиков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75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дБА</w:t>
            </w:r>
          </w:p>
        </w:tc>
      </w:tr>
    </w:tbl>
    <w:p>
      <w:pPr>
        <w:pageBreakBefore/>
      </w:pPr>
    </w:p>
    <w:p>
      <w:pPr>
        <w:keepLines/>
        <w:spacing w:after="80" w:before="0"/>
        <w:jc w:val="center"/>
      </w:pPr>
      <w:r>
        <w:rPr>
          <w:rFonts w:ascii="Times New Roman" w:cs="Times New Roman" w:hAnsi="Times New Roman"/>
          <w:b/>
          <w:bCs/>
          <w:i w:val="false"/>
          <w:iCs w:val="false"/>
          <w:sz w:val="24"/>
          <w:szCs w:val="24"/>
        </w:rPr>
        <w:t xml:space="preserve">Приложение № 3</w:t>
      </w:r>
    </w:p>
    <w:p>
      <w:pPr>
        <w:spacing w:after="40"/>
      </w:pPr>
    </w:p>
    <w:p>
      <w:pPr>
        <w:keepLines/>
        <w:spacing w:after="80" w:before="0"/>
        <w:jc w:val="center"/>
      </w:pP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Требования к техническим характеристикам поставляемого товара</w:t>
      </w:r>
    </w:p>
    <w:p>
      <w:pPr>
        <w:spacing w:after="100"/>
      </w:pPr>
    </w:p>
    <w:tbl>
      <w:tblPr>
        <w:tblW w:type="dxa" w:w="97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DVD-RW / DVD+RW диск</w:t>
            </w:r>
          </w:p>
        </w:tc>
      </w:tr>
      <w:tr>
        <w:trPr>
          <w:cantSplit/>
          <w:tblHeader/>
          <w:trHeight w:val="400" w:hRule="atLeast"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Наименование характеристики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Значение характеристики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Единица измерения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Общие сведения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Интерфейс подключения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USB 3.0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Скорость записи на DVD-R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8x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Скорость записи на CD-R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24x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Скорость чтения DVD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16x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Скорость чтения CD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48x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Поддерживаемые форматы записи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DVD-R, DVD+R, DVD-RW, DVD+RW, CD-R, CD-RW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Поддерживаемые форматы чтения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DVD-ROM, DVD-R, DVD+R, DVD-RW, DVD+RW, CD-ROM, CD-R, CD-RW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Буфер данных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2 МБ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МБ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Уровень шума при работе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более 45 дБ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дБ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Потребляемая мощность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более 5 Вт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Вт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Ширина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более 148 мм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Глубина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более 170 мм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Высота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более 42 мм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Вес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более 1 кг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кг</w:t>
            </w:r>
          </w:p>
        </w:tc>
      </w:tr>
    </w:tbl>
    <w:p>
      <w:pPr>
        <w:spacing w:before="400"/>
      </w:pPr>
    </w:p>
    <w:p>
      <w:pPr>
        <w:keepLines/>
        <w:spacing w:after="80"/>
        <w:jc w:val="both"/>
      </w:pP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Специалист ___________________________ </w:t>
      </w:r>
    </w:p>
    <w:p>
      <w:pPr>
        <w:spacing w:after="40"/>
      </w:pPr>
    </w:p>
    <w:p>
      <w:pPr>
        <w:keepLines/>
        <w:spacing w:after="80"/>
        <w:jc w:val="both"/>
      </w:pPr>
      <w:r>
        <w:rPr>
          <w:rFonts w:ascii="Times New Roman" w:cs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«____» _______________ 2026 г.                                     _______________</w:t>
      </w:r>
    </w:p>
    <w:sectPr>
      <w:pgSz w:w="11906" w:h="16838" w:orient="portrait"/>
      <w:pgMar w:top="1041" w:right="1003" w:bottom="1539" w:left="1129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2026-04-12T09:27:11.265Z</dcterms:created>
  <dcterms:modified xsi:type="dcterms:W3CDTF">2026-04-12T09:27:11.265Z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