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6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4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keepLines/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УТВЕРЖДАЮ</w:t>
            </w:r>
          </w:p>
          <w:p>
            <w:pPr>
              <w:keepNext/>
              <w:keepLines/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</w:t>
            </w:r>
          </w:p>
          <w:p>
            <w:pPr>
              <w:keepNext/>
              <w:keepLines/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(должность)</w:t>
            </w:r>
          </w:p>
          <w:p>
            <w:pPr>
              <w:keepNext/>
              <w:keepLines/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 / _______________ /</w:t>
            </w:r>
          </w:p>
          <w:p>
            <w:pPr>
              <w:keepLines/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«___» _______ 2026 г.</w:t>
            </w:r>
          </w:p>
        </w:tc>
      </w:tr>
    </w:tbl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Техническое задание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на поставку ноутбук asus x1503</w:t>
      </w:r>
    </w:p>
    <w:p>
      <w:pPr>
        <w:spacing w:after="160"/>
      </w:pPr>
    </w:p>
    <w:p>
      <w:pPr>
        <w:keepNext/>
        <w:keepLines/>
        <w:spacing w:after="100" w:before="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1. Наименование, Заказчик, Исполнитель, сроки выполнения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Наименование объекта поставки: комплект товаров (8 позиций) (далее — Товар).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Заказчик: _______________________________________________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Исполнитель: определяется по результатам закупочных процедур.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Сроки выполнения: не позднее 60 календарных дней с даты заключения контракта.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Перечень поставляемого Товара и сопутствующих параметров приведён в сводной таблице и приложениях № 1–8.</w:t>
            </w:r>
          </w:p>
        </w:tc>
      </w:tr>
    </w:tbl>
    <w:p>
      <w:pPr>
        <w:pageBreakBefore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Наименование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лицензии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  <w:r>
              <w:br/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действия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Кол-</w:t>
            </w:r>
            <w:r>
              <w:br/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во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Прил.</w:t>
            </w:r>
            <w:r>
              <w:br/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Операционная система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Служба каталогов / LDAP-сервер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Служба каталогов / LDAP-сервер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3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Операционная система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Платформа виртуализации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VDI / платформа виртуальных рабочих мест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 резервного копирования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3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Почтовый сервер / корпоративная почта</w:t>
            </w:r>
          </w:p>
        </w:tc>
        <w:tc>
          <w:tcPr>
            <w:tcW w:type="dxa" w:w="175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на срок действия исключительного права</w:t>
            </w:r>
          </w:p>
        </w:tc>
        <w:tc>
          <w:tcPr>
            <w:tcW w:type="dxa" w:w="110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 мес.</w:t>
            </w:r>
          </w:p>
        </w:tc>
        <w:tc>
          <w:tcPr>
            <w:tcW w:type="dxa" w:w="72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 лиц.</w:t>
            </w:r>
          </w:p>
        </w:tc>
        <w:tc>
          <w:tcPr>
            <w:tcW w:type="dxa" w:w="139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35"/>
              <w:left w:type="dxa" w:w="50"/>
              <w:bottom w:type="dxa" w:w="35"/>
              <w:right w:type="dxa" w:w="5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Прил. 8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2. Требования к предмету закупки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Требования к характеристикам поставляемого Товара представлены в Спецификациях (Приложения № 1–8 к настоящему Техническому заданию).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Поставляемое программное обеспечение должно быть лицензионно чистым. Поставщик гарантирует правомерность использования ПО.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 должно быть полнофункциональным, не лимитированным по сроку использования и не быть демонстрационным.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использования ПО передаётся Заказчику на основании лицензионного договора (сублицензионного соглашения) в соответствии с частью IV ГК РФ.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Программное обеспечение должно быть включено в Единый реестр российских программ для ЭВМ и баз данных (реестр Минцифры) в соответствии с ПП РФ от 16.11.2015 № 1236. Поставщик обязан представить реестровую запись (выписку) из реестра Минцифры.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Цена товара не должна превышать цену, установленную контрактам, и может изменяться в пределах, установленных законодательством Российской Федерации.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3. Требования к пуско-наладочным работам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Пуско-наладочные работы включают установку программного обеспечения, передачу лицензий и первоначальную настройку в объёме, предусмотренном документацией производителя.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4. Требования к сроку предоставления гарантии качества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предоставить лицензионный договор (сублицензионное соглашение), регистрационные документы и право на получение обновлений и технической поддержки в объёме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течение срока гарантии качества Поставщик гарантирует надлежащее качество Товара.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случае обнаружения недостатков, дефектов в поставленных Товарах, Поставщик в сроки, установленные Заказчиком, своими силами и за свой счёт устраняет обнаруженные дефекты и недостатки.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счёт Поставщика.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Все сопутствующие гарантийному обслуживанию мероприятия (доставка, погрузка, разгрузка) осуществляются силами и за счёт Поставщика.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5. Требования к таре и упаковке товара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Поставка программного обеспечения осуществляется в электронной форме, если иное не предусмотрено документацией производителя и условиями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передать дистрибутивы, ключи активации, лицензионные документы, сертификаты технической поддержки и эксплуатационную документацию в составе, достаточном для ввода ПО в эксплуатацию.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6. Место, сроки и условия поставки товара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Место доставки Товара: _______________________________________________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поставки Товара: не более 60 (шестидесяти) календарных дней с даты заключения контракта.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согласовать с Заказчиком (представителем Заказчика) дату и время поставки Товара не позднее чем за 2 (два) рабочих дня до даты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Поставка осуществляется в рабочее время Заказчика (понедельник – пятница с 9:00 до 13:00 и с 14:00 до 17:00, исключение — выходные и праздничные дни). Поставщик за счёт собственных средств осуществляет доставку, разгрузку и подъём Товара до места эксплуатации.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Паспорт публикации: статус — нужна проверка; готово — 1; требуют проверки — 7; блокируют публикацию — 0. Доверенная классификация — 8/8; внешняя сверка без критичных расхождений — 8/8; полностью готовых сервисных позиций — 8/0.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№1: Операционная система. Статус: требует проверки. Классификация: ОКПД2: 58.29.11.000 — Системы операционные; КТРУ: 58.29.11.000-00000002;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58.29.11.000-00000002.. Что делать: уточнить основание по ПП1875.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6.7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№2: Служба каталогов / LDAP-сервер. Статус: требует проверки. Классификация: ОКПД2: 58.29.11.000 — Программное обеспечение (служба каталогов); КТРУ: 58.29.11.000-00000005;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58.29.11.000-00000005.. Что делать: уточнить основание по ПП1875.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6.8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№3: Служба каталогов / LDAP-сервер. Статус: требует проверки. Классификация: ОКПД2: 58.29.11.000 — Программное обеспечение (служба каталогов); КТРУ: 58.29.11.000-00000005;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58.29.11.000-00000005.. Что делать: уточнить основание по ПП1875.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6.9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№4: Операционная система. Статус: требует проверки. Классификация: ОКПД2: 58.29.11.000 — Системы операционные; КТРУ: 58.29.11.000-00000002;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58.29.11.000-00000002.. Что делать: уточнить основание по ПП1875.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6.10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№5: Платформа виртуализации. Статус: требует проверки. Классификация: ОКПД2: 58.29.11.000 — Программное обеспечение (виртуализация); КТРУ: 58.29.11.000-00000005;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58.29.11.000-00000005.. Что делать: уточнить основание по ПП1875.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№6: VDI / платформа виртуальных рабочих мест. Статус: требует проверки. Классификация: ОКПД2: 58.29.11.000 — Программное обеспечение прикладное (VDI); КТРУ: 58.29.11.000-00000005;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58.29.11.000-00000005.. Что делать: уточнить основание по ПП1875.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№7: ПО резервного копирования. Статус: готово. Классификация: ОКПД2: 58.29.11.000 — Программное обеспечение (резервное копирование); КТРУ: 58.29.11.000-00000005; Источник: ЕИС / КТРУ / закупочные площадки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58.29.11.000-00000005.. Что делать: позиция готова к публикации после финальной проверки Заказчиком.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№8: Почтовый сервер / корпоративная почта. Статус: требует проверки. Классификация: ОКПД2: 58.29.11.000 — Программное обеспечение прикладное (почта); КТРУ: 58.29.11.000-00000005; Источник: каталог / шаблон позиции · источник доверенный. Качество и доказательная база: ПП1875: запрет; Позиция классифицирована как программное обеспечение; подтверждение российского или евразийского происхождения выполняется через реестр Минцифры России или евразийский реестр ПО в рамках ПП РФ № 1875 и правил ПП РФ № 1236. Источник классификации: каталог / шаблон позиции. КТРУ: 58.29.11.000-00000005.. Что делать: уточнить основание по ПП1875.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1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Операционная система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операционной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защищённая многопользовательская операционная система общего назначения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вариант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Special Edition для серверов и рабочих станций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/ номер релиза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1.8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Исполнение / уровень защищённости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с усиленными встроенными средствами защиты информации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50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Постановления Правительства РФ от 23.12.2024 № 1875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соответствует указанным требованиям национального режима и нормативной документации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Раскрытие сведений о средствах и способах реализации функций безопасности в эксплуатационной документации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сведения раскрыты в технической и эксплуатационной документации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 по требованиям безопасности информации к операционным системам (ФСТЭК, 2016)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действующий сертификат ФСТЭК России на поставляемый продукт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Профиль защиты операционных систем типа «А» не ниже 4 класса ИТ.ОС.А4.ПЗ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заявленному профилю защиты подтверждено документацией и сертификатами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 доверия по требованиям ФСТЭК России (2020)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уровня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контейнеризации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виртуализации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системам управления базами данных (ФСТЭК, 2023)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ГОСТ Р 56939 (безопасная разработка)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подтверждения безопасной разработки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и аутентификация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сертифицированных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средствами аутентификации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средствами аутентификации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Реализация дискреционного разграничения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реализация дискреционного разграничения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Мандатное управление доступом (MAC)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Дискреционный контроль доступа (DAC)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Замкнутая программная среда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указания параметров настройки комплекса средств защиты во время создания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Контейнеризация и изоляция процессов, выполняемых в контейнерах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аутентификационной информации с использованием функции хэширования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Ядро, поддерживаемое Центром исследования безопасности системного программного обеспечения ИСП 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Графическое средство настройки ограничений пользователя по запуску программ в изолированном окружении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на запуск приложений ядром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на запуск приложений ядром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средствами графического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средствами графического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Разрешение запуска только тех программных компонентов, которые явно разрешены администратором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запуска пользователем самостоятельно созданных программ с использованием интерпретируемых языков программирования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защиты машинных носителей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устройств и сопоставление пользователя с устройством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идентификация устройств и сопоставление пользователя с устройством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и 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 учетом требований ГОСТ Р 59548-2022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контроля целостности дистрибутива и файловой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Блокировка запуска исполняемых файлов и загрузки библиотек при нарушении целостности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полномочий пользователей по использованию консолей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полномочий пользователей по использованию консолей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Очистка оперативной памяти и временных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Включение сведений об уязвимостях в банк данных угроз безопасности информации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работ по устранению уязвимостей и публикации сведений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системных и привилегированных процессов от несанкционированного доступа и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операций записи в системные каталоги и файлы вне зависимости от изменения пользователем своих привилегий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Средство настройки профиля системы с импортом и экспортом настроек комплекса средств защиты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со сторонними устройствами аутентификации - токенами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Двухфакторная авторизация, вход и разблокировка по токену, блокировка сессии при извлечении токена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аппаратные платформы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64-бит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ядра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6.1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локальные файловые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ext4, XFS, Btrfs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файловых систем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NFS, CIFS/SMB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протоколов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TCP/IP, IPv4, IPv6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Среда функционирования для сертифицированных средств криптографической защиты информации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Установщик с поддержкой VNC-сервера для удаленного подключения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Автоматическая установка при помощи файла конфигурации формата .yaml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пакетов из репозитория во время установки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Инструмент для обновления между мажорными версиями с сохранением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Виртуализация и контейнеры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KVM, QEMU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контейнеризации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LXC, Docker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локальной виртуализации с графическим интерфейсом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оболочка и файловый менеджер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и HiDPI-дисплеев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и HiDPI-дисплеев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подключения к сети Wi-Fi до входа в систему и аутентификации по смарт-карте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подключения к сети Wi-Fi до входа в систему и аутентификации по смарт-карте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репозитории браузера из единого реестра российских программ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в репозитории браузера из единого реестра российских программ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Ввод аутентификационных данных при входе и разблокировке экрана с использованием виртуальной клавиатуры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ввод аутентификационных данных при входе и разблокировке экрана с использованием виртуальной клавиатуры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офисными пакетами из реестра Минцифры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совместимость с офисными пакетами из реестра Минцифры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инфраструктурными сервисами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со службами каталогов, виртуализации, VDI, корпоративной почтой и резервным копированием по стандартным интерфейсам и API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CUPS или эквивалентная подсистема печати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сканирования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SANE или эквивалентная подсистема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веб-браузеров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браузерами, поддерживающими современные веб-стандарты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Система управления пакетами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apt/dpkg или эквивалентная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 и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Правовая 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Подтверждение права на поставку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сублицензионного договора с разработчиком ПО или его партнером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Прогноз совместимости оборудования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ядра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монолитное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Интерфейс пользователя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оболочка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пользовательского интерфейса для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Файловый менеджер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файлового менеджера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целостности загрузки и исполняемых файлов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Маркировка объектов по уровням конфиденциальности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Изоляция процессов и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Встроенный межсетевой экран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VPN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IPsec, OpenVPN, WireGuard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VPN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Доменная аутентификация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LDAP, Kerberos и интеграции со службой каталогов или эквивалентным решением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сценариев автоматизации и централизованного управления конфигурацией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резервного копирования пользовательских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или штатно поддерживаемых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СКЗИ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средств электронной подписи и криптографической защиты или эквивалентных решений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для применения в ГИС, ИСПДн и иных защищаемых системах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Носитель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2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Служба каталогов / LDAP-сервер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 службы каталогов / контроллер домена ALD Pro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семейство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ALD Pro Server или эквивалент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часть, клиентские лицензии CAL, CAL на устройство или CAL на пользователя в зависимости от выбранного состава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Лицензионный состав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лицензия на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объект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не ниже 4 уровня доверия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без ограничений в контуре периметра без необходимости использования внешних сервисов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в изолированном контуре без обязательного обращения к внешним сервисам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Взаимодействие пользователей с Продуктом посредством графического интерфейса (WebUI и/или GUI)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функциям продукта через web-интерфейс и/или графическую консоль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светлой и темной темы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светлая и тёмная тема пользовательского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на архитектуре x86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на аппаратной архитектуре 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управление всеми компонентами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под управлением ОС Astra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развёртывание серверных компонентов под управлением Astra Linux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Механизмы отказоустойчивости на уровне приложения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Горизонтальная масштабируемость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Георезервирование с установкой независимых компонентов в различные ЦОД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Восстановление функций после сбоев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LDAP(S) и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LDAP(S) и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единого идентификатора для доступа ко всем разрешенным ресурсам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единого идентификатора для доступа ко всем разрешенным ресурсам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Авторизация пользователей домена в Продукте с использованием браузера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авторизация пользователей домена в Продукте с использованием браузера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Функциональные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организационными единицами (OU)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иерархии подразделений и делегирования административных полномочий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редактирование и удаление сайтов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Ведение реестра серверов и ролей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Отображение связанного графа топологии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Функциональные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сайтами и топологией репликации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сайтов, межсайтовых связей и настройки топологии репликации каталога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репликацией между контроллерами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репликацией между контроллерами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групповых политик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групповых политик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пользователей и групп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пользователей и групп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глобальным каталогом и модулем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глобальным каталогом и модулем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организационной структурой, пользователями и компьютерами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организационной структурой, пользователями и компьютерами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Функциональные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Групповые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применение групповых политик и конфигураций на базе SaltStack или эквивалентного механизма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Автоматизированная установка ОС по сети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PXE / netboot для сетевого развёртывания рабочих станций и серверов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из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переноса домена, организационной структуры, пользователей и групп с сохранением структуры объектов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и обновление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разрешения имен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синхронизации времени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Общий доступ к файлам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заданиями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заданиями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состояния компонентов, ресурсов, событий и аварийных уведомлений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Навигация и поиск объектов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Справочный центр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Личный кабинет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Парольные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Инфраструктура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DHCP / DNS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службами DHCP и DNS, включая обслуживание записей и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DNS-зон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прямых и обратных зон DNS, необходимых для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доверительными отношениями с доменами Продукта и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доверительными отношениями с доменами Продукта и Microsoft Active Directory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серверные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Astra Linux Special Edition, ALT Linux, РЕД ОС или эквивалентные серверные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клиентской частью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Клиентские лицензии CAL на устройства или пользователей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Инфраструктура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Репликация каталога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multi-master репликация каталога с поддержкой межсайтовой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Разграничение прав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и административных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входов, изменений конфигурации и административных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и восстановление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минорным обновлениям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минорным обновлениям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3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Служба каталогов / LDAP-сервер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 службы каталогов /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семейство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ALD Pro Server или эквивалент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42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часть, клиентские лицензии CAL, CAL на устройство или CAL на пользователя в зависимости от выбранного состава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Лицензионный состав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Серверная лицензия на контроллер домена и клиентские лицензии CAL на управляемые объекты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контроллер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Общие требования к продукту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не ниже 4 уровня доверия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серверной части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без ограничений в контуре периметра без необходимости использования внешних сервисов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в изолированном контуре без обязательного обращения к внешним сервисам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Взаимодействие пользователей с Продуктом посредством графического интерфейса (WebUI и/или GUI)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функциям продукта через web-интерфейс и/или графическую консоль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светлой и темной темы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светлая и тёмная тема пользовательского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на архитектуре x86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на аппаратной архитектуре 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управление всеми компонентами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под управлением ОС Astra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развёртывание серверных компонентов под управлением Astra Linux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работы в сетях IPv4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Механизмы отказоустойчивости на уровне приложения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Горизонтальная масштабируемость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Георезервирование с установкой независимых компонентов в различные ЦОД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Восстановление функций после сбоев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LDAP(S) и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LDAP(S) и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единого идентификатора для доступа ко всем разрешенным ресурсам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единого идентификатора для доступа ко всем разрешенным ресурсам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Авторизация пользователей домена в Продукте с использованием браузера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авторизация пользователей домена в Продукте с использованием браузера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организационными единицами (OU)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иерархии подразделений и делегирования административных полномочий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редактирование и удаление сайтов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Ведение реестра серверов и ролей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Отображение связанного графа топологии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сайтами и топологией репликации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сайтов, межсайтовых связей и настройки топологии репликации каталога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репликацией между контроллерами домена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репликацией между контроллерами домена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групповых политик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групповых политик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Kerberos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параметрами пользователей и групп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параметрами пользователей и групп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глобальным каталогом и модулем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глобальным каталогом и модулем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организационной структурой, пользователями и компьютерами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организационной структурой, пользователями и компьютерами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Групповые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применение групповых политик и конфигураций на базе SaltStack или эквивалентного механизма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Автоматизированная установка ОС по сети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PXE / netboot для сетевого развёртывания рабочих станций и серверов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из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переноса домена, организационной структуры, пользователей и групп с сохранением структуры объектов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и обновление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разрешения имен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синхронизации времени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Служба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Общий доступ к файлам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заданиями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заданиями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состояния компонентов, ресурсов, событий и аварийных уведомлений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Навигация и поиск объектов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Справочный центр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Личный кабинет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Парольные политики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DHCP / DNS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службами DHCP и DNS, включая обслуживание записей и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DNS-зон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прямых и обратных зон DNS, необходимых для доменной инфраструктуры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 / Kerberos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доверительными отношениями с доменами Продукта и Microsoft Active Directory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доверительными отношениями с доменами Продукта и Microsoft Active Directory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серверные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Astra Linux Special Edition, ALT Linux, РЕД ОС или эквивалентные серверные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клиентской частью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Клиентские лицензии CAL на устройства или пользователей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Репликация каталога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multi-master репликация каталога с поддержкой межсайтовой синхронизации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межсайтовой синхронизации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Разграничение прав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и административных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входов, изменений конфигурации и административных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Совместимость, безопасность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и восстановление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минорным обновлениям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минорным обновлениям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4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Операционная система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операционной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защищённая многопользовательская операционная система общего назначения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вариант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Special Edition для серверов и рабочих станций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/ номер релиза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1.8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Исполнение / уровень защищённости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с усиленными встроенными средствами защиты информации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Постановления Правительства РФ от 23.12.2024 № 1875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соответствует указанным требованиям национального режима и нормативной документации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Раскрытие сведений о средствах и способах реализации функций безопасности в эксплуатационной документации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сведения раскрыты в технической и эксплуатационной документации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 по требованиям безопасности информации к операционным системам (ФСТЭК, 2016)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действующий сертификат ФСТЭК России на поставляемый продукт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Профиль защиты операционных систем типа «А» не ниже 4 класса ИТ.ОС.А4.ПЗ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заявленному профилю защиты подтверждено документацией и сертификатами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 доверия по требованиям ФСТЭК России (2020)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уровня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контейнеризации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виртуализации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системам управления базами данных (ФСТЭК, 2023)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ГОСТ Р 56939 (безопасная разработка)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подтверждения безопасной разработки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и аутентификация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сертифицированных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средствами аутентификации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средствами аутентификации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учетными записями пользователей, разграничение полномочий и назначение прав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Реализация дискреционного разграничения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реализация дискреционного разграничения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Мандатное управление доступом (MAC)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Дискреционный контроль доступа (DAC)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Замкнутая программная среда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указания параметров настройки комплекса средств защиты во время создания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Контейнеризация и изоляция процессов, выполняемых в контейнерах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аутентификационной информации с использованием функции хэширования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Ядро, поддерживаемое Центром исследования безопасности системного программного обеспечения ИСП 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Графическое средство настройки ограничений пользователя по запуску программ в изолированном окружении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на запуск приложений ядром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на запуск приложений ядром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прав пользователя средствами графического интерфейса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прав пользователя средствами графического интерфейса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Разрешение запуска только тех программных компонентов, которые явно разрешены администратором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запуска пользователем самостоятельно созданных программ с использованием интерпретируемых языков программирования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защиты машинных носителей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устройств и сопоставление пользователя с устройством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идентификация устройств и сопоставление пользователя с устройством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доступом субъектов доступа к устройствам методами дискреционного управления доступом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и 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 учетом требований ГОСТ Р 59548-2022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средства настройки контроля целостности дистрибутива и файловой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Блокировка запуска исполняемых файлов и загрузки библиотек при нарушении целостности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полномочий пользователей по использованию консолей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полномочий пользователей по использованию консолей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Очистка оперативной памяти и временных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встроенному комплексу средств защиты информации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Включение сведений об уязвимостях в банк данных угроз безопасности информации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работ по устранению уязвимостей и публикации сведений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системных и привилегированных процессов от несанкционированного доступа и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Запрет операций записи в системные каталоги и файлы вне зависимости от изменения пользователем своих привилегий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Средство настройки профиля системы с импортом и экспортом настроек комплекса средств защиты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со сторонними устройствами аутентификации - токенами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Двухфакторная авторизация, вход и разблокировка по токену, блокировка сессии при извлечении токена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аппаратные платформы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x86_64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64-бит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разрядность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ядра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6.1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локальные файловые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ext4, XFS, Btrfs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файловых систем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NFS, CIFS/SMB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сетевых протоколов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TCP/IP, IPv4, IPv6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Файловые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lVM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разделов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точек восстановления (снапшотов)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Среда функционирования для сертифицированных средств криптографической защиты информации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Установщик с поддержкой VNC-сервера для удаленного подключения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Автоматическая установка при помощи файла конфигурации формата .yaml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пакетов из репозитория во время установки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Инструмент для обновления между мажорными версиями с сохранением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Виртуализация и контейнеры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KVM, QEMU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контейнеризации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LXC, Docker или эквивалентные средства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локальной виртуализации с графическим интерфейсом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Графические инструменты управления репозиториями, аудитом и компонентами подсистемы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мониторинга, удаленного доступа, резервного копирования и серверных служб в составе дистрибутива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состояния компонентов, ресурсов, событий и аварийных уведомлений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виртуализации должны использовать qemu версии не ниже 8.2.4 и libvirt версии не ниже 10.3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Дополнительные серверные компоненты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web-сервер Apache, почтовые сервисы, средства мониторинга, средства удаленного доступа, сервер печати, аудит и журналирование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СКЗИ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средств электронной подписи и криптографической защиты или эквивалентных решений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офисными пакетами из реестра Минцифры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совместимость с офисными пакетами из реестра Минцифры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инфраструктурными сервисами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со службами каталогов, виртуализации, VDI, корпоративной почтой и резервным копированием по стандартным интерфейсам и API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печати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CUPS или эквивалентная подсистема печати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серверными службами каталогов, почты, печати и удаленного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совместимость с серверными службами каталогов, почты, печати и удаленного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Веб-браузеры и репозитории российского ПО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браузерами, поддерживающими современные веб-стандарты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Система управления пакетами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apt/dpkg или эквивалентная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функциональным возможностям операционной системы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 и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Правовая 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Подтверждение права на поставку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сублицензионного договора с разработчиком ПО или его партнером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Прогноз совместимости оборудования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Ядро и платформы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ядра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монолитное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Интерфейс пользователя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оболочка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пользовательского интерфейса для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Файловый менеджер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файлового менеджера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мониторов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hiDPI-дисплеев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Средства безопасности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целостности загрузки и исполняемых файлов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Маркировка объектов по уровням конфиденциальности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Изоляция процессов и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регистрация, хранение, поиск и экспорт журналов событий, изменений и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Встроенный межсетевой экран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Сетевые возможности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VPN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IPsec, OpenVPN, WireGuard или эквивалентные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VPN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Доменная аутентификация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LDAP, Kerberos и интеграции со службой каталогов или эквивалентным решением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dHCP-клиента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dNS-клиента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Администрирование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централизованного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сценариев автоматизации и централизованного управления конфигурацией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резервного копирования пользовательских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встроенных или штатно поддерживаемых средств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сканирования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SANE или эквивалентная подсистема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веб-браузеров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браузерами, поддерживающими современные веб-стандарты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Сертификация и 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Сертификат ФСТЭК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действующего сертификата ФСТЭК России для применения в ГИС, ИСПДн и иных защищаемых системах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Носитель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5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Платформа виртуализации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 виртуализации и управления виртуальной инфраструктурой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семейство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ПК Брест или эквивалент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Требования соответствия законодательным и нормативным документам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Физический процессор сервера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Постановления Правительства РФ от 23.12.2024 № 1875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соответствует указанным требованиям национального режима и нормативной документации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 доверия по требованиям ФСТЭК России (2020)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уровня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уровень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Соответствие требованиям по безопасности информации к средствам виртуализации (ФСТЭК, 2022)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ниже 4 класса защиты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Применимость в информационных системах первого класса защищенности без наложенных средств защиты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функциональным возможностям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Регулярное обновление для нейтрализации угроз эксплуатации уязвимостей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безопасности, исправлений ошибок и критических патчей в период действия лицензии или технической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в среде операционной системы из Единого реестра российского ПО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и эксплуатация на отечественных ОС из реестра Минцифры без применения эмуляции или дополнительных прослоек совместимости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Эмуляция аппаратного обеспечения с использованием KVM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гипервизора KVM/QEMU или эквивалентного механизма аппаратной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виртуальных машин, образов и шаблонов с поддержкой 32 и 64-битных гостевых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создания, хранения и эксплуатации ВМ, образов и шаблонов для 32- и 64-разрядных гостевых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ВМ из настраиваемых шаблонов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параметризуемые шаблоны с выбором CPU, RAM, дисков, сетей и механизмов инициализации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 ВМ до 256 виртуальных процессоров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256 vCPU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vCPU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 ВМ до 2000 ГБ оперативной памяти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2000 ГБ оперативной памяти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ГБ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и аутентификация субъектов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локальная и/или централизованная аутентификация пользователей и администраторов с разграничением ролей и прав доступа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в условиях мандатного и дискреционного разграничения доступа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эксплуатация платформы при мандатном и дискреционном разграничении доступа без утраты штатной функциональности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Запуск ВМ в виде отдельного процесса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каждая виртуальная машина исполняется отдельным процессом гипервизора с изоляцией ресурсов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и интеграция с доменом FreeIPA и службой каталога для Linux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FreeIPA, ALD Pro и иными службами каталогов Linux для аутентификации и централизованного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 на русском языке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русскоязычный веб-интерфейс и/или графическая клиентская консоль администрирования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программным обеспечением для управления виртуальными рабочими местами (VDI)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Termidesk и иными VDI-решениями по API, каталогам и механизмам размещения ВМ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различных сценариев виртуализации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постоянные, непостоянные, пуловые и шаблонные сценарии предоставления виртуальных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конфигурацией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изменение параметров CPU, RAM, дисков, сетевых интерфейсов и политик запуска через консоль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Изменение количества выделенных процессоров и размера ОЗУ без завершения функционирования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горячее изменение vCPU и RAM без остановки ВМ при поддержке гостевой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к ВМ устройств из состава аппаратных средств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ISO-образов, USB-устройств, сетевых адаптеров и иных поддерживаемых устройств к виртуальной машине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Добавление виртуальных дисков без остановки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горячее добавление и подключение виртуальных дисков без остановки виртуальной машины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Клонирование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полное и/или связанное клонирование виртуальных машин и шаблонов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операция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Сохранение ВМ как шаблона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преобразование эталонной виртуальной машины в шаблон для массового развёртывания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операция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кластеров высокой доступности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HA-кластеры с контролем состояния узлов и автоматическим перезапуском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Выполнение миграции работающих ВМ между узлами кластера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live migration виртуальных машин между узлами без остановки прикладного сервиса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Ручная балансировка нагрузки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ручное перераспределение виртуальных машин и ресурсов между хостами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Автоматическое распределение ресурсов между работающими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автоматическое размещение виртуальных машин и балансировка нагрузки по правилам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Защита файлов-образов ВМ от модификации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доступа, права, снапшоты и иные механизмы защиты образов и дисков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управление кластерами, хранилищами и виртуальными коммутаторами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единая консоль управления хостами, кластерами, сетями, хранилищами и политиками платформы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работоспособности и использования ресурсов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CPU, RAM, дисков, сети, состояний и событий виртуальных машин и узлов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VLAN/VXLAN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виртуальные сети с сегментацией и изоляцией трафика на базе VLAN/VXLAN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Регистрация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журналирование административных, системных и инфраструктурных событий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Централизованное хранение конфигурационной информации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хранение настроек кластера, сетей, хранилищ и шаблонов в централизованной базе или репозитории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к ВМ по протоколу SPICE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консоли виртуальных машин по SPICE и/или VNC через защищённые механизмы подключения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Встроенная консоль в веб-интерфейсе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встроенная web-console для управления виртуальными машинами без установки отдельного толстого клиента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Перенос ВМ между узлами кластера без прерывания сетевого трафика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запущенных ВМ с сохранением сетевой связности, IP-параметров и открытых сеансов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Миграция дисков работающих ВМ между хранилищами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storage live migration между поддерживаемыми хранилищами без остановки ВМ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сетевого и дискового ввода-вывода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квотирование и лимитирование IOPS, throughput и сетевой полосы для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протокола IPMI 2.0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BMC/IPMI 2.0 для управления питанием и аппаратным состоянием узлов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расширения количества управляемых ВМ до 10 000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платформы до не менее 10 000 управляемых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кластером управления до 1250 серверов виртуализации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 управления масштабом не менее 1250 серверов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сервер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сервером виртуализации до 32 процессоров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32 физических процессоров на один сервер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процессор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сервером виртуализации до 384 физических ядер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384 физических ядер на один сервер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ядро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сервером виртуализации до 6 ТБ оперативной памяти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6 ТБ оперативной памяти на один сервер виртуализации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ТБ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Групповое создание 500 и более ВМ из шаблонов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массовое развёртывание не менее 500 виртуальных машин из шаблонов в пакетном режиме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механизмов оптимизации оперативной памяти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баллонирование, overcommit, deduplication или иные штатные механизмы оптимизации памяти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Автоматический ввод ВМ в домен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автоматизация включения виртуальных машин в домен или каталог при развёртывании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клиентского приложения с графическим интерфейсом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графический клиент и/или web-интерфейс администратора для работы с платформой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хранилищем LVM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подключение и управление хранилищами на базе LVM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и использование распределённого блочного хранилища Ceph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Ceph RBD и управление пулами, томами и политиками размещения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сервисного режима обслуживания узла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вывод узла в сервисный режим для обслуживания без нарушения работы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создания доменных пользователей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доменных учётных записей и групп для доступа к платформе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объект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Встроенное резервное копирование для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штатные механизмы резервного копирования и восстановления виртуальных машин либо интеграция с backup-системами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Расширение диска ВМ он-лайн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online resize виртуальных дисков без остановки виртуальной машины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виртуальной машиной до 52 виртуальных дисков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52 виртуальных дисков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диск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виртуальной машиной до 26 сетевых интерфейсов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26 виртуальных сетевых интерфейсов на одну виртуальную машину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Расширение хранилищ он-лайн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online expansion датасторов, томов и пулов хранения без остановки сервисов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провайдера для Terraform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Terraform provider или эквивалентный механизм IaC-автоматизации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средство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продукта с использованием подхода IaaC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автоматизация развёртывания и конфигурирования средствами Infrastructure as Code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подход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изолированных тенантов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многоарендность с изоляцией ресурсов, сетей и прав доступа по тенантам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географически распределенной инфраструктуры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нескольких площадок и централизованного управления геораспределённой инфраструктурой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схема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Microsoft AD DS через доверительные отношения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и авторизация через доверительные отношения с Microsoft AD DS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технологии единого входа - SSO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единый вход пользователей по Kerberos/SSO без повторного ввода учётных данных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Affinity / Anti-Affinity правил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правила совместного и раздельного размещения виртуальных машин по узлам кластера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групп ВМ с общим жизненным циклом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группы виртуальных машин с общими политиками запуска, остановки, обновления и размещения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группа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Инициализация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cloud-init, guest initialization или эквивалентные механизмы первичной настройки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Квоты на использование ресурсов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лимиты на CPU, RAM, диски и сети по пользователю, проекту или тенанту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квота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Тарификация использования ресурсов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учёт потребления ресурсов для расчётов, биллинга или внутренней аллокации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виртуальных дата центров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логические виртуальные дата-центры с выделенными пулами ресурсов и сетями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объект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Реализация модели доступа на базе ACL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списки контроля доступа для объектов платформы, ВМ, сетей и хранилищ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Фильтрация трафика для виртуальных сетей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правила фильтрации и изоляции трафика на уровне виртуальных сетей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Визуализация топологии сети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графическое представление связей между сетями, узлами, виртуальными машинами и сервисами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 виртуальных сетей из шаблонов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типовые шаблоны виртуальных сетей и сегментов с повторным использованием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шаблон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Централизованный источник шаблонов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единый каталог образов и шаблонов виртуальных машин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каталог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Загрузка образов дисков с HTTP-ресурсов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образов дисков по HTTP/HTTPS и из внешних репозиториев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Горячее подключение сетевых интерфейсов и дисков к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hot-plug сетевых интерфейсов и дисков без остановки виртуальной машины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Снимки состояния ВМ и дисков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снапшоты виртуальных машин и дисков с возможностью отката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DRS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DRS или эквивалентный механизм динамического распределения ресурсов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Панель в веб-интерфейсе с основной информацией о платформе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дашборд с состоянием кластера, ресурсов, аварий и производительности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Безопасность, совместимость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Termidesk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штатная совместимость с Termidesk для сценариев VDI и доставки виртуальных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RuBackup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 RuBackup для резервного копирования виртуальных машин, конфигурации и инфраструктурных объектов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Безопасность, совместимость и 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событий и аудит действий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протоколирование входов, изменений конфигурации, операций с ВМ и системных событий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Мандатное управление доступом к виртуальным машинам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встроенные механизмы разграничения доступа к виртуальным машинам по уровням и ролям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Централизованная консоль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единый web-интерфейс и/или графическая консоль управления платформой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интерфейс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Мониторинг ресурсов кластера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контроль загрузки узлов, виртуальных машин, сетей, хранилищ и аварийных состояний в реальном времени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механизм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Отказоустойчивая схема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кластерная и/или резервированная схема развёртывания компонентов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схема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6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VDI / платформа виртуальных рабочих мест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Платформа виртуальных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семейство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Termidesk или эквивалент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50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Пользователь / конкурентная сессия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Общее описание решения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Функционирование в среде ОС Astra Linux Special Edition 1.8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встроенных механизмов безопасности: замкнутая программная среда и мандатный контроль целостности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встроенных механизмов безопасности: замкнутая программная среда и мандатный контроль целостности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полным жизненным циклом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Создание, настройка, включение, выключение, безопасное выключение, перезагрузка, эксплуатация и удаление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Горизонтальное масштабирование диспетчеров и шлюзов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горизонтальное масштабирование диспетчеров и шлюзов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Высокая доступность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отказоустойчивая и/или кластерная схема развёртывания компонентов решения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Требования к решению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максимального количества одновременных сеансов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максимального количества одновременных сеансов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 «Техническое обслуживание»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из шаблона нескольких типов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развертывание из шаблона нескольких типов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Режимы развертывания «полные клоны» и «связанные клоны»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генератора имен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генератора имен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Развертывание рабочих мест из снапшота ВМ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развертывание рабочих мест из снапшота ВМ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Возврат к первоначальному состоянию рабочих мест без их пересоздания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возврат к первоначальному состоянию рабочих мест без их пересоздания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терминальными сессиями Microsoft Remote Desktop Services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терминальными сессиями Microsoft Remote Desktop Services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терминальными Linux-сессиями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терминальными Linux-сессиями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удалённым доступом к физическим ПК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удалённым доступом к физическим ПК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Балансировка пользовательских сессий между терминальными серверами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технологии единого входа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технологии единого входа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Получение сведений о пользователях и группах из серверов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ALD Pro, FreeIPA, Microsoft Active Directory, Альт Домен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SAML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SAML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OpenID Connect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OpenID Connect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двусторонней взаимной аутентификации по mTLS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двусторонней взаимной аутентификации по mTLS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единого входа Kerberos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единого входа Kerberos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Аутентификация пользователей по смарт-картам и токенам Рутокен, JaCarta, eToken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аутентификация пользователей по смарт-картам и токенам Рутокен, JaCarta, eToken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Идентификация пользователей по IP-адресу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идентификация пользователей по IP-адресу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двухфакторной аутентификации на основе TOTP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двухфакторной аутентификации на основе TOTP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удалённого доступа к рабочим местам по RDP, SPICE, TERA, Loudplay и HTML5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предоставление удалённого доступа к рабочим местам по RDP, SPICE, TERA, Loudplay и HTML5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по протоколу UDP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подключение по протоколу UDP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удалённого доступа к рабочим местам с vGPU, разрешением до 4К и 60 кадрами/сек.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предоставление удалённого доступа к рабочим местам с vGPU, разрешением до 4К и 60 кадрами/сек.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режимов прямого соединения и соединения через «Шлюз»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режимов прямого соединения и соединения через «Шлюз»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шлюза подключений без обязательного использования VPN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шлюза подключений без обязательного использования VPN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Настраиваемое перенаправление аппаратных устройств и буфера обмена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Ограничение перенаправления USB-устройств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ограничение перенаправления USB-устройств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Перенаправление домашнего каталога пользователя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перенаправление домашнего каталога пользователя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Использование выделенного виртуального диска для хранения пользовательских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использование выделенного виртуального диска для хранения пользовательских данных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Доставка виртуальных рабочих столов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доставка виртуальных рабочих столов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Доставка отдельных приложений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доставка отдельных приложений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через HTML5-браузер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через HTML5-браузер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через тонкий клиент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через тонкий клиент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Мультиарендность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мультиарендность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пулами рабочих столов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пулами рабочих столов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терминального режима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терминального режима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VDI-режима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vDI-режима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публикации приложений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USB, буфера обмена и печати в сессии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uSB, буфера обмена и печати в сессии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компоненту «Универсальный диспетчер»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установщика, работающего в диалоговом режиме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установщика, работающего в диалоговом режиме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выбора типа установки СУБД PostgreSQL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Выполнение установки в соответствии с заданной ролью узла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выполнение установки в соответствии с заданной ролью узла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совмещения нескольких ролей на одном узле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Настройка параметров доступа к системе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настройка параметров доступа к системе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аудита действий администратора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аудита действий администратора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Возможность хранения паролей во внешних хранилищах секретов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графическому интерфейсу управления из веб-обозревателя по HTTPS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графическому интерфейсу управления из веб-обозревателя по HTTPS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Наглядный графический веб-интерфейс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web-интерфейс для настройки, мониторинга и администрирования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Настройка параметров конфигурации гостевых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настройка параметров конфигурации гостевых ОС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Поиск в графическом веб-интерфейсе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web-интерфейс для настройки, мониторинга и администрирования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CLI-интерфейс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API-интерфейс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штатный API для автоматизации, интеграции и обмена данными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Визуализация событий аудита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Сбор и хранение статистики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Управление электропитанием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управление электропитанием рабочих мест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4. Требования к компоненту «Клиент»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Консольный и графический режим запуска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консольный и графический режим запуска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Подключение к нескольким инсталляциям ПО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подключение к нескольким инсталляциям ПО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Визуализация списка доступных рабочих мест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Перенаправление клавиатуры и указателя мыши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перенаправление клавиатуры и указателя мыши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несколькими мониторами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несколькими мониторами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Передача текстовых данных через буфер обмена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Автоматическое переподключение при потере соединения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автоматическое переподключение при потере соединения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5. Требования к компоненту «Агент»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Установка в гостевую ОС для обеспечения взаимодействия с компонентом «Универсальный диспетчер»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автозапуска при старте гостевой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автозапуска при старте гостевой ОС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графического интерфейса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предусмотрен графического интерфейса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6.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7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ПО резервного копирования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 типу товара и назначению лицензии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 / пользователей / узлов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1 шт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шт.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 / релиз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Актуальная поддерживаемая версия по документации производителя [!] Требуется более конкретное и проверяемое значение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Поддерживаемые операционные системы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соответствии с технической документацией производителя и требованиями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Техническая поддержка /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 условиям поставки и требованиям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Состав поставки / включённые компоненты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Лицензии, ключи активации, дистрибутив, документация, доступ к обновлениям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8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программного обеспечения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срок действия исключительного права / 12 мес.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Почтовый сервер / корпоративная почта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программного обеспечения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Корпоративный почтовый сервер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Редакция / семейство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RuPost или эквивалент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лицензии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лицензий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50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 лицензирования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срок действия исключительного права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метрика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Лицензируемый объект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Почтовый ящик пользователя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Способ поставки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электронная поставка лицензий, ключей активации и дистрибутива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Едином реестре российского ПО Минцифры России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включено в Единый реестр российского ПО Минцифры России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СУБД PostgreSQL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СУБД PostgreSQL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взаимодействия с кластером БД PostgreSQL на базе Patroni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взаимодействия с кластером БД PostgreSQL на базе Patroni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Бесшовная интеграция и синхронизация с адресными книгами LDAP-совместимых служб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протоколов SMTP, IMAP, POP3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протоколов SMTP, IMAP, POP3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TLS/SSL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шифрования TLS/SSL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Отправка и получение электронной почты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Работа с адресными книгами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работа с адресными книгами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календарей и контактов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календарей и контактов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правил обработки сообщений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правил обработки сообщений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вложений файлов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вложений файлов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Полнотекстовый поиск по почтовым сообщениям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цифровых подписей и шифрования сообщений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цифровых подписей и шифрования сообщений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ActiveSync или эквивалентной мобильной синхронизации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activeSync или эквивалентной мобильной синхронизации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встроенной защиты от спама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встроенной защиты от спама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антивирусной проверки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антивирусной проверки штатными средствами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Интеграция со службой каталогов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LDAP, Active Directory, ALD Pro или эквивалентные механизмы при поддержке производителем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1. Технические требования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из Microsoft Exchange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с сохранением почтовых сообщений, календарей и адресных книг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Кластеризация и иные механизмы высокой доступности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кластеризация и иные механизмы высокой доступности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Отказоустойчивая схема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кластерная и/или резервированная схема развёртывания компонентов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 и данных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 с возможностью последующего восстановления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Веб-консоль администратора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web-интерфейс для настройки, мониторинга и администрирования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Средства мониторинга и оповещений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механизмов контроля состояния, уведомлений и диагностических сообщений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интеграции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штатный API для автоматизации, интеграции и обмена данными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Экспорт данных и журналов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механизмов экспорта данных, отчётов и журналов в открытых форматах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Ролевая модель доступа (RBAC)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разграничения прав пользователей и администраторов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входов, изменений конфигурации и административных операций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Журналирование системных событий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журналов работы, ошибок и событий безопасности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2. Безопасность, эксплуатация и 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Шифрование трафика управления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TLS 1.2 и выше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Квоты почтовых ящиков и лимиты хранения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квоты почтовых ящиков и лимиты хранения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Транспортные правила и маршрутизация почты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многодоменной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редакции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3. Требования к включенным обновлениям Тип 2 или технической поддержке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действия обновлений / технической поддержки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 мес.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Доступ к обновлениям безопасности Продукта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обеспечивается доступ к обновлениям безопасности Продукта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Право на получение новых мажорных релизов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 период действия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версия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установке и обновлению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по настройке Продукта после обновления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Исправление ошибок, несоответствий, инцидентов и дефектов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Моделирование сценариев на тестовом стенде Вендора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Удаленный сбор информации о сбоях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вендора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Информационно-справочная поддержка в гетерогенных средах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Выделенный консультант / координатор работ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по регламенту поставки и 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Веб-интерфейс администрирования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административной консоли или иного штатного интерфейса управления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Аудит действий пользователей и администраторов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регистрации действий с возможностью последующего анализа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API / средства автоматизации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REST API, CLI, webhooks или эквивалентные средства интеграции и автоматизации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Масштабирование и отказоустойчивость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масштабирования и отказоустойчивой схемы развёртывания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Резервное копирование конфигурации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экспорта, резервного копирования и восстановления конфигурации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Лицензирование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Обновления и исправления безопасности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предоставление обновлений и патчей безопасности в период действия лицензии или техподдержки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Эксплуатация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Поддержка отказоустойчивой схемы развёртывания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возможности развёртывания в отказоустойчивой или кластерной конфигурации в рамках редакции поставки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Интеграция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Импорт / миграция данных и настроек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 штатных средств импорта, миграции и передачи конфигурации из смежных систем или предыдущих версий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наличие</w:t>
            </w:r>
          </w:p>
        </w:tc>
      </w:tr>
    </w:tbl>
    <w:p>
      <w:pPr>
        <w:spacing w:before="400"/>
      </w:pPr>
    </w:p>
    <w:p>
      <w:pPr>
        <w:keepLines/>
        <w:spacing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Специалист ___________________________</w:t>
      </w:r>
    </w:p>
    <w:p>
      <w:pPr>
        <w:spacing w:after="40"/>
      </w:pPr>
    </w:p>
    <w:p>
      <w:pPr>
        <w:keepLines/>
        <w:spacing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«____» _______________ 2026 г.                                     _______________</w:t>
      </w:r>
    </w:p>
    <w:sectPr>
      <w:pgSz w:w="11906" w:h="16838" w:orient="portrait"/>
      <w:pgMar w:top="1041" w:right="1003" w:bottom="1539" w:left="112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2026-03-20T14:01:14.249Z</dcterms:created>
  <dcterms:modified xsi:type="dcterms:W3CDTF">2026-03-20T14:01:14.249Z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