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поставку комплекта товаров (3 позиций)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Наименование объекта поставки: комплект товаров (3 позиций) (далее — Товар).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Заказчик: _______________________________________________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Исполнитель: определяется по результатам закупочных процедур.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Сроки выполнения: не позднее 60 (шестьдесят) календарных дней с даты заключения контракта.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поставляемого Товара и сопутствующих параметров приведён в сводной таблице и приложениях № 1–3.</w:t>
      </w:r>
    </w:p>
    <w:p>
      <w:pPr>
        <w:spacing w:after="6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Своя услуга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усл.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Системный блок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шт.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Монитор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 шт.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характеристикам поставляемого Товара представлены в Спецификациях (Приложения № 1–3 к настоящему Техническому заданию).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осуществить поставку средств вычислительной техники и оборудования, а также комплектующих и расходных материалов к ним (далее — Товар) в порядке и на условиях, предусмотренных Контрактом и настоящим Техническим заданием, а также в соответствии с требованиями нормативных правовых актов, указанных в разделе 7 настоящего Технического задания.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Поставляемый Товар должен соответствовать следующим требованиям: техническим и качественным характеристикам, установленным настоящим Техническим заданием; действующим государственным и международным стандартам и актам Российской Федерации; требованиям технических регламентов Таможенного союза (ТР ТС 004/2011 «О безопасности низковольтного оборудования», ТР ТС 020/2011 «Электромагнитная совместимость технических средств»); требованиям пожарной, санитарной и электрической безопасности; стандартам Российской Федерации в части входных и выходных разъёмов и уровней сигналов. В комплект поставки должны входить все интерфейсные шнуры и кабели питания, необходимые для полнофункциональной эксплуатации. Поставляемый Товар, в отношении которого утверждён класс энергетической эффективности, должен соответствовать классу энергетической эффективности не ниже «А». Товар должен быть предназначен для эксплуатации в рабочих помещениях.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взаимодействия с Заказчиком Поставщик обязан в течение 1 (одного) рабочего дня с даты заключения Контракта назначить ответственное контактное лицо, выделить номер телефона, а также адрес электронной почты для приёма данных (запросов, заявок) в электронной форме и уведомить об этом Заказчика. Об изменении контактной информации ответственного лица Поставщик обязан уведомить Заказчика в течение 1 (одного) рабочего дня со дня возникновения таких изменений.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поставлен в рабочие часы Заказчика: понедельник–четверг с 08:00 до 17:00, пятница с 08:00 до 15:30 по московскому времени, в срок и по адресу, указанному в спецификации. Поставщик вправе досрочно осуществить поставку по согласованию с Заказчиком.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поставляет Товар в соответствии с пропускным и внутриобъектовым режимами, установленными по адресу поставки, в порядке, согласованном с Заказчиком не позднее чем за 3 (три) рабочих дня до даты фактической поставки. Поставка осуществляется силами и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предоставляет Заказчику комплект отчётных документов и электронный структурированный Документ о приёмке, подписанный усиленной квалифицированной электронной подписью (УКЭП) и размещённый в единой информационной системе в сфере закупок (ЕИС). Комплект отчётной документации включает: документы, подтверждающие гарантийные обязательства Поставщика и изготовителя (гарантийные карты) в отношении всех единиц Товара; копии сертификата(-ов) или декларации(-й) о соответствии, подтверждающих соответствие Товара требованиям технических регламентов. Гарантийная карта направляется в электронном виде на адрес электронной почты Заказчика и/или на бумажном носителе при поставке.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2.8.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Поставляемый Товар должен быть обеспечен комплектом документации на русском языке, включающим инструкции по эксплуатации (руководство пользователя, руководство администратора), а также технический паспорт на Товар, если данная документация предусмотрена производителем. Комплектация документацией в виде копий не допускается.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2.9.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допускается поставка Товара, имеющего повреждения и/или Товара, условия хранения которого были нарушены.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2.10.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укомплектован в соответствии с эксплуатационной документацией необходимыми приспособлениями и инструментом для безопасных регулировок, технического обслуживания и применения по назначению.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Уборка и вывоз тары, упаковки, вспомогательных упаковочных и укупорочных средств осуществляются Поставщиком за свой счёт в течение 1 (одного) рабочего дня с даты фактической поставки Товара.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свободен от прав третьих лиц.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 вправе в течение 4 (четырёх) календарных дней с даты заключения Контракта направить Поставщику письменное требование о предоставлении в установленный срок (не менее 3 (трёх) календарных дней) по 1 (одной) единице подлежащих поставке Товаров для проверки соответствия Товара требованиям Технического задания.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ПП РФ № 1875: меры национального режима по данной позиции не применяются.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Исполнитель обязан иметь лицензию на осуществление соответствующего вида деятельности, выданную уполномоченным органом в соответствии с действующим законодательством Российской Федерации. Копия действующей лицензии представляется в составе заявки на участие в закупке.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 и ПП РФ от 17.07.2015 № 719.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2.18.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Цена Договора является твёрдой и определяется на весь срок исполнения Договора.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Пуско-наладочные работы не требуются.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предоставить Заказчику документы, подтверждающие гарантийные обязательства производителя Товара (гарантийные карты), составленные на все единицы поставляемого Товара, на срок не менее 12 (двенадцати) месяцев, если иной срок не указан в Спецификации. Гарантийная карта направляется в электронном виде посредством электронной почты и/или на бумажном носителе при поставке. Гарантийное обслуживание осуществляется на территории Российской Федерации в авторизованных сервисных центрах производителя или силами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предоставить Заказчику копии сертификата(-ов) или декларации(-й) о соответствии, подтверждающих соответствие Товара требованиям технических регламентов Таможенного союза.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в срок не позднее 5 (пяти) рабочих дней после фактической поставки Товара (исполнения обязательств) представляет Заказчику Документ о приёмке в электронной форме, подписанный усиленной квалифицированной электронной подписью (УКЭП) лица, имеющего право действовать от имени Поставщика, и размещает его в единой информационной системе в сфере закупок (ЕИС).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позднее 20 (двадцати) рабочих дней после получения Документа о приёмке Заказчик рассматривает результаты и подписывает УКЭП и размещает в ЕИС Документ о приёмке либо формирует и размещает в ЕИС мотивированный отказ с указанием причин. Для проверки соответствия поставленного Товара условиям Контракта Заказчик проводит экспертизу своими силами или с привлечением экспертов.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течение срока гарантии Поставщик гарантирует надлежащее качество Товара. В случае обнаружения дефектов Поставщик обязан в течение 15 (пятнадцати) рабочих дней с момента получения уведомления устранить неисправность или произвести замену Товара аналогичными характеристиками или выше. Все мероприятия гарантийного обслуживания (доставка, погрузка, разгрузка) осуществляются силами и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Поставщик не устраняет недостатки в установленные сроки, Заказчик вправе произвести замену Товара и устранить недостатки силами третьих лиц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Дата выпуска поставляемого Товара должна быть не ранее 1 января 2026 г. Актуальность версии подтверждается серийным номером или сопроводительными документами производителя.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Упаковка должна исключать перемещение Товара в таре при доставке (отгрузке), а также способна предотвратить его повреждение или порчу.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Эксплуатационная документация (при её наличии) должна быть вложена в потребительскую тару или транспортную тару вместе с Товаром.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Место доставки Товара: _______________________________________________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 поставки Товара: не более 60 (шестьдесят) календарных дней с даты заключения контракта.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Поставка осуществляется в рабочее время Заказчика (понедельник–четверг с 08:00 до 17:00, пятница с 08:00 до 15:30 по московскому времени,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7. Перечень нормативных правовых актов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Федеральный закон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23.12.2024 № 1875 «О мерах по обеспечению приоритетного использования российских товаров, работ и услуг»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Технический регламент Таможенного союза «О безопасности низковольтного оборудования» (ТР ТС 004/2011)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Технический регламент Таможенного союза «Электромагнитная совместимость технических средств» (ТР ТС 020/2011)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17.07.2015 № 719 «О подтверждении производства промышленной продукции на территории Российской Федерации»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Решение Совета Евразийской экономической комиссии от 23.11.2020 № 105 «О Перечне радиоэлектронной продукции, происходящей из иностранных государств, в отношении которой устанавливаются ограничения допуска для целей осуществления закупок»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31.12.2020 № 2463 «Об утверждении правил продажи товаров по договору розничной купли-продажи» (в части требований к сопроводительной документации)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7.8.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26.09.1994 № 1090 и иные акты об энергетической эффективности товаров (в части требования к классу энергетической эффективности не ниже «А»)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7.9.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Р 55062-2012 «Информационные технологии. Системы промышленной автоматизации и интеграция. Совместимость оборудования» (при применимости)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7.10.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12.2.007.0-75 «Изделия электротехнические. Общие требования безопасности»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Р 51318.22-2006 / ГОСТ Р 51317.3.2-2006 «Требования электромагнитной совместимости технических средств»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Приказ Министерства финансов Российской Федерации от 04.06.2018 № 126н «Об условиях допуска товаров, происходящих из иностранного государства или группы иностранных государств, для целей осуществления закупок»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Федеральный закон от 06.04.2011 № 63-ФЗ «Об электронной подписи» (в части требований к применению УКЭП при оформлении Документа о приёмке в ЕИС)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Решение Федеральной антимонопольной службы России (ФАС) и правоприменительная практика в части требований к описанию объекта закупки (ст. 33 44-ФЗ): запрет на ограничение конкуренции, обязательное указание «или эквивалент» при ссылке на товарный знак</w:t>
      </w:r>
    </w:p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Своя услуга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услуги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Проведение предварительного (при приеме на работу), периодического медицинского осмотра (обследования) и психиатрического освидетельствования в целях динамического наблюдения за состоянием здоровья работников, своевременного выявления начальных форм профессиональных заболеваний, ранних признаков воздействия вредных и (или) опасных производственных факторов рабочей среды, трудового процесса на состояние здоровья работников в целях формирования групп риска развития профессиональных заболеваний, выявления медицинских противопоказаний к осуществлению отдельных видов работ.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Объем услуг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Объем услуг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Проведение предварительного (при приеме на работу), периодического медицинского осмотра (обследования) и психиатрического освидетельствования работников Предприятия.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Сроки и SLA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оказания услуг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Услуги должны быть оказаны в течение [указать конкретный срок, например, 12 (двенадцати) месяцев] с даты заключения договора. Конкретные сроки проведения осмотров согласовываются сторонами в рамках договора.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Организация работ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оказания услуг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территории исполнителя. Центральный административный округ г. Москвы.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Требования к исполнению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оказанию услуг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Проведение предварительного (при приеме на работу), периодического медицинского осмотра (обследования) и психиатрического освидетельствования работников осуществляется в соответствии с Приказом министерства здравоохранения России от 28.01.2021 N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Требования к исполнителю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Квалификация исполнителя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 обязан привлечь квалифицированных специалистов, обладающих необходимыми знаниями, опытом, допусками, лицензиями и сертификатами по характеру услуг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Системный блок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Технические характеристики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Поддерживаемая операционная система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Операционная система семейства Microsoft Windows версии 11 (или эквивалентная по функциональности операционная система, обеспечивающая совместимость с предъявляемыми к программному обеспечению требованиями).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Многоядерный процессор с тактовой частотой не ниже [указать минимальную частоту, соответствующую производительности перечисленных моделей] ГГц, обеспечивающий совместимость с указанной материнской платой и чипсетом (или эквивалентный по производительности).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Чипсет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Чипсет, обеспечивающий поддержку указанных типов процессора, оперативной памяти и интерфейсов (или эквивалентный по функциональности).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подсистема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в процессор или дискретная графическая подсистема, поддерживающая разрешение не ниже 1920x1080 через интерфейсы HDMI и/или DisplayPort (или эквивалентная по производительности).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Конфигурация накопителей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1x M.2 SSD (NVMe PCIe/SATA auto switch); 2x 2.5” HDD / SSD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2x DDR5 up to 5600MHz SO-DIMMs, up to 64GB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Порты на передней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1x USB 5Gbps Type-C; 1x USB 5Gbps Type-A; 2x USB 2.0 Type-A; 1x Mic-in; 1x Headphone-out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Порты на 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1x USB 10Gbps Type-C; 1x USB 10Gbps Type-A; 2x USB 2.0; 1x RJ45; 1x HDMI™ out (supports 4K @60Hz as specified in HDMI™ 2.1); 1x DisplayPort (1.4); 1x COM port; 1x Mic-in; 1x Line-out; 1x Kensington Lock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Беспроводные интерфейсы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 беспроводной связи, поддерживающий стандарты Wi-Fi не ниже 802.11ac (Wi-Fi 5) и Bluetooth не ниже версии 4.1 (или эквивалентный по функциональности).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Bluetooth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5.3 (for AX211) / 4.1 (for AW-CB515NF)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Аудиоподсистема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аудиоподсистема, обеспечивающая вывод звука через интерфейсы Line-out и Headphone-out (или эквивалентная по функциональности).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Проводная сеть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Сетевой контроллер со скоростью передачи данных не ниже 1 Гбит/с через интерфейс RJ-45 (или эквивалентный по функциональности).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охлаждения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Fan Cooler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 питания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120W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Размеры корпуса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204 x 208 x 54.8 mm (8.03 x 8.19 x 2.16 inch)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Масса нетто/брутто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1.52 kg (3.35 lbs) / 3.05 kg (6.72 lbs)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VESA крепление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Support 100 x 100 mm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Объем корпуса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 Liter / 4.86pt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Состояние товара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новый, не бывший в эксплуатации, не восстановленный и не бывший в ремонте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Документация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и идентификация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Гарантия производителя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заводская упаковка, обеспечивающая защиту изделия при транспортировании и хранении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Linux, ALT Linux, РЕД ОС или эквивалентные операционные системы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Сетевой 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порта Ethernet RJ-45 со скоростью не ниже 1 Гбит/с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ТОРП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Удалить строки «ТОРП: Да —» из описаний системного блока и монитора. Требование о товарах российского происхождения должно быть установлено в извещении о закупке и документации о закупке в соответствии с перечнем, утвержденным ПП РФ № 1875, на основании кодов ОКПД2 закупаемых товаров.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Монитор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Технические характеристики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 для подключения к персональному компьютеру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Диагональ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23.8 дюйм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дюйм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матрицы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IPS, VA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1920 x 1080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Частота обновления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60 Гц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Гц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Яркость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250 кд/м²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Контрастность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1000:1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Углы обзора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178° / 178°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Видеоинтерфейсы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HDMI и/или DisplayPort по спецификации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Регулировка положения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Наклон и/или иные регулировки по модели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Крепление VESA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и/или совместимость с кронштейнами по типу устройства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Монитор, кабель питания, видеокабель (при наличии в штатной поставке), документация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Состояние товара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новый, не бывший в эксплуатации, не восстановленный и не бывший в ремонте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Документация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и идентификация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Гарантия производителя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заводская упаковка, обеспечивающая защиту изделия при транспортировании и хранении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Основные интерфейсы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HDMI, DisplayPort, USB, аудиоинтерфейсы или эквивалентные интерфейсы по типу устройства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Яркость / чувствительность / громкость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Яркость: не менее 250 кд/м² (уже указано выше, дублирование устранено).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мультимедийных функций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Удалить данную позицию как избыточное требование для монитора.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Крепление / размещение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Антибликовое исполнение / эргономика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экрана: Матовое (антибликовое) покрытие экрана.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ТОРП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Удалить строки «ТОРП: Да —» из описаний системного блока и монитора. Требование о товарах российского происхождения должно быть установлено в извещении о закупке и документации о закупке в соответствии с перечнем, утвержденным ПП РФ № 1875, на основании кодов ОКПД2 закупаемых товаров.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 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2026-04-12T10:38:06.184Z</dcterms:created>
  <dcterms:modified xsi:type="dcterms:W3CDTF">2026-04-12T10:38:06.184Z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