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Выступление: МВГП — магнитно-вакуумная герметизирующая пластина</w:t>
      </w:r>
    </w:p>
    <w:p>
      <w:pPr>
        <w:spacing w:after="200"/>
      </w:pPr>
      <w:r>
        <w:rPr>
          <w:color w:val="4A4F57"/>
          <w:sz w:val="22"/>
          <w:szCs w:val="22"/>
        </w:rPr>
        <w:t xml:space="preserve">Выступление на 15 минут · 24 слайда · около 1557 слов</w:t>
      </w:r>
    </w:p>
    <w:p>
      <w:pPr>
        <w:pStyle w:val="Heading1"/>
      </w:pPr>
      <w:r>
        <w:t xml:space="preserve">Хронометраж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1800"/>
      </w:tblGrid>
      <w:tr>
        <w:trPr>
          <w:tblHeader/>
        </w:trPr>
        <w:tc>
          <w:tcPr>
            <w:tcW w:type="dxa" w:w="4800"/>
            <w:tcBorders>
              <w:top w:val="single" w:color="C9D6E6" w:sz="4"/>
              <w:left w:val="single" w:color="C9D6E6" w:sz="4"/>
              <w:bottom w:val="single" w:color="C9D6E6" w:sz="4"/>
              <w:right w:val="single" w:color="C9D6E6" w:sz="4"/>
            </w:tcBorders>
            <w:shd w:fill="023A84" w:color="auto" w:val="clear"/>
            <w:tcMar>
              <w:top w:type="dxa" w:w="60"/>
              <w:left w:type="dxa" w:w="100"/>
              <w:bottom w:type="dxa" w:w="60"/>
              <w:right w:type="dxa" w:w="100"/>
            </w:tcMar>
          </w:tcPr>
          <w:p>
            <w:r>
              <w:rPr>
                <w:b/>
                <w:bCs/>
                <w:color w:val="FFFFFF"/>
                <w:sz w:val="22"/>
                <w:szCs w:val="22"/>
              </w:rPr>
              <w:t xml:space="preserve">Блок</w:t>
            </w:r>
          </w:p>
        </w:tc>
        <w:tc>
          <w:tcPr>
            <w:tcW w:type="dxa" w:w="2400"/>
            <w:tcBorders>
              <w:top w:val="single" w:color="C9D6E6" w:sz="4"/>
              <w:left w:val="single" w:color="C9D6E6" w:sz="4"/>
              <w:bottom w:val="single" w:color="C9D6E6" w:sz="4"/>
              <w:right w:val="single" w:color="C9D6E6" w:sz="4"/>
            </w:tcBorders>
            <w:shd w:fill="023A84" w:color="auto" w:val="clear"/>
            <w:tcMar>
              <w:top w:type="dxa" w:w="60"/>
              <w:left w:type="dxa" w:w="100"/>
              <w:bottom w:type="dxa" w:w="60"/>
              <w:right w:type="dxa" w:w="100"/>
            </w:tcMar>
          </w:tcPr>
          <w:p>
            <w:r>
              <w:rPr>
                <w:b/>
                <w:bCs/>
                <w:color w:val="FFFFFF"/>
                <w:sz w:val="22"/>
                <w:szCs w:val="22"/>
              </w:rPr>
              <w:t xml:space="preserve">Слайды</w:t>
            </w:r>
          </w:p>
        </w:tc>
        <w:tc>
          <w:tcPr>
            <w:tcW w:type="dxa" w:w="1800"/>
            <w:tcBorders>
              <w:top w:val="single" w:color="C9D6E6" w:sz="4"/>
              <w:left w:val="single" w:color="C9D6E6" w:sz="4"/>
              <w:bottom w:val="single" w:color="C9D6E6" w:sz="4"/>
              <w:right w:val="single" w:color="C9D6E6" w:sz="4"/>
            </w:tcBorders>
            <w:shd w:fill="023A84" w:color="auto" w:val="clear"/>
            <w:tcMar>
              <w:top w:type="dxa" w:w="60"/>
              <w:left w:type="dxa" w:w="100"/>
              <w:bottom w:type="dxa" w:w="60"/>
              <w:right w:type="dxa" w:w="100"/>
            </w:tcMar>
          </w:tcPr>
          <w:p>
            <w:r>
              <w:rPr>
                <w:b/>
                <w:bCs/>
                <w:color w:val="FFFFFF"/>
                <w:sz w:val="22"/>
                <w:szCs w:val="22"/>
              </w:rPr>
              <w:t xml:space="preserve">Время, мин</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Вступление, актуальность, цель</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1–3</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1:30</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Исходные данные и анализ рынка</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4–6</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2:15</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Решение и конструкция</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7–11</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3:45</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Технология применения</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12–13</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1:30</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Расчёт, ограничения, безопасность, сравнение</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14–18</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3:30</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Экономика</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19–21</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1:45</w:t>
            </w:r>
          </w:p>
        </w:tc>
      </w:tr>
      <w:tr>
        <w:tc>
          <w:tcPr>
            <w:tcW w:type="dxa" w:w="4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Развитие и заключение</w:t>
            </w:r>
          </w:p>
        </w:tc>
        <w:tc>
          <w:tcPr>
            <w:tcW w:type="dxa" w:w="24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22–24</w:t>
            </w:r>
          </w:p>
        </w:tc>
        <w:tc>
          <w:tcPr>
            <w:tcW w:type="dxa" w:w="1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0:45</w:t>
            </w:r>
          </w:p>
        </w:tc>
      </w:tr>
      <w:tr>
        <w:tc>
          <w:tcPr>
            <w:tcW w:type="dxa" w:w="4800"/>
            <w:tcBorders>
              <w:top w:val="single" w:color="C9D6E6" w:sz="4"/>
              <w:left w:val="single" w:color="C9D6E6" w:sz="4"/>
              <w:bottom w:val="single" w:color="C9D6E6" w:sz="4"/>
              <w:right w:val="single" w:color="C9D6E6" w:sz="4"/>
            </w:tcBorders>
            <w:shd w:fill="DCE9F5" w:color="auto" w:val="clear"/>
            <w:tcMar>
              <w:top w:type="dxa" w:w="60"/>
              <w:left w:type="dxa" w:w="100"/>
              <w:bottom w:type="dxa" w:w="60"/>
              <w:right w:type="dxa" w:w="100"/>
            </w:tcMar>
          </w:tcPr>
          <w:p>
            <w:r>
              <w:rPr>
                <w:b/>
                <w:bCs/>
                <w:sz w:val="22"/>
                <w:szCs w:val="22"/>
              </w:rPr>
              <w:t xml:space="preserve">Всего</w:t>
            </w:r>
          </w:p>
        </w:tc>
        <w:tc>
          <w:tcPr>
            <w:tcW w:type="dxa" w:w="2400"/>
            <w:tcBorders>
              <w:top w:val="single" w:color="C9D6E6" w:sz="4"/>
              <w:left w:val="single" w:color="C9D6E6" w:sz="4"/>
              <w:bottom w:val="single" w:color="C9D6E6" w:sz="4"/>
              <w:right w:val="single" w:color="C9D6E6" w:sz="4"/>
            </w:tcBorders>
            <w:shd w:fill="DCE9F5" w:color="auto" w:val="clear"/>
            <w:tcMar>
              <w:top w:type="dxa" w:w="60"/>
              <w:left w:type="dxa" w:w="100"/>
              <w:bottom w:type="dxa" w:w="60"/>
              <w:right w:type="dxa" w:w="100"/>
            </w:tcMar>
          </w:tcPr>
          <w:p>
            <w:r>
              <w:rPr>
                <w:b/>
                <w:bCs/>
                <w:sz w:val="22"/>
                <w:szCs w:val="22"/>
              </w:rPr>
              <w:t xml:space="preserve">24 слайда</w:t>
            </w:r>
          </w:p>
        </w:tc>
        <w:tc>
          <w:tcPr>
            <w:tcW w:type="dxa" w:w="1800"/>
            <w:tcBorders>
              <w:top w:val="single" w:color="C9D6E6" w:sz="4"/>
              <w:left w:val="single" w:color="C9D6E6" w:sz="4"/>
              <w:bottom w:val="single" w:color="C9D6E6" w:sz="4"/>
              <w:right w:val="single" w:color="C9D6E6" w:sz="4"/>
            </w:tcBorders>
            <w:shd w:fill="DCE9F5" w:color="auto" w:val="clear"/>
            <w:tcMar>
              <w:top w:type="dxa" w:w="60"/>
              <w:left w:type="dxa" w:w="100"/>
              <w:bottom w:type="dxa" w:w="60"/>
              <w:right w:type="dxa" w:w="100"/>
            </w:tcMar>
          </w:tcPr>
          <w:p>
            <w:r>
              <w:rPr>
                <w:b/>
                <w:bCs/>
                <w:sz w:val="22"/>
                <w:szCs w:val="22"/>
              </w:rPr>
              <w:t xml:space="preserve">≈ 15:00</w:t>
            </w:r>
          </w:p>
        </w:tc>
      </w:tr>
    </w:tbl>
    <w:p>
      <w:pPr>
        <w:spacing w:after="120" w:before="160"/>
      </w:pPr>
      <w:r>
        <w:rPr>
          <w:color w:val="4A4F57"/>
          <w:sz w:val="22"/>
          <w:szCs w:val="22"/>
        </w:rPr>
        <w:t xml:space="preserve">Номер в начале абзаца — слайд, который должен быть на экране. Где указано несколько слайдов, переключайте их по ходу абзаца, не останавливаясь. Темп — около 115 слов в минуту плюс паузы на переключение слайдов. Если не укладываетесь, сократите абзацы про слайды 5, 17 и 22; если остаётся время — подробнее разберите график на слайде 15.</w:t>
      </w:r>
    </w:p>
    <w:p>
      <w:pPr>
        <w:pStyle w:val="Heading1"/>
      </w:pPr>
      <w:r>
        <w:t xml:space="preserve">Текст выступления</w:t>
      </w:r>
    </w:p>
    <w:p>
      <w:pPr>
        <w:spacing w:after="160" w:before="120" w:line="360"/>
      </w:pPr>
      <w:r>
        <w:rPr>
          <w:b/>
          <w:bCs/>
          <w:color w:val="0074BD"/>
          <w:sz w:val="28"/>
          <w:szCs w:val="28"/>
        </w:rPr>
        <w:t xml:space="preserve">Слайд 1.  </w:t>
      </w:r>
      <w:r>
        <w:rPr>
          <w:sz w:val="28"/>
          <w:szCs w:val="28"/>
        </w:rPr>
        <w:t xml:space="preserve">Здравствуйте, уважаемые члены комиссии! Я Архипов В. В., студент Политехнического института ДВФУ. Тема моего доклада — магнитно-вакуумная герметизирующая пластина, сокращённо МВГП. Это устройство для временной герметизации сквозных течей на нефтепроводах и резервуарах. Оно не заменяет постоянный ремонт: его задача — быстро и безопасно остановить утечку и дожить до планового ремонта. Я расскажу, почему задача актуальна, что уже есть на рынке, как устроено наше устройство, где границы его применения и насколько оно выгодно.</w:t>
      </w:r>
    </w:p>
    <w:p>
      <w:pPr>
        <w:spacing w:after="160" w:before="120" w:line="360"/>
      </w:pPr>
      <w:r>
        <w:rPr>
          <w:b/>
          <w:bCs/>
          <w:color w:val="0074BD"/>
          <w:sz w:val="28"/>
          <w:szCs w:val="28"/>
        </w:rPr>
        <w:t xml:space="preserve">Слайд 2.  </w:t>
      </w:r>
      <w:r>
        <w:rPr>
          <w:sz w:val="28"/>
          <w:szCs w:val="28"/>
        </w:rPr>
        <w:t xml:space="preserve">Любая течь нефти — это четыре проблемы одновременно. Прямые потери: даже через свищ 10 миллиметров при сниженном давлении уходит около 11 тонн нефти в час. Экология: загрязнение почвы и воды, штрафы и рекультивация. Простой: перекачку останавливают или снижают давление. И риск пожара и взрыва от паров нефти. Поэтому нужен способ остановить течь за минуты — без сварки, огневых работ и ударного инструмента, который может дать искру.</w:t>
      </w:r>
    </w:p>
    <w:p>
      <w:pPr>
        <w:spacing w:after="160" w:before="120" w:line="360"/>
      </w:pPr>
      <w:r>
        <w:rPr>
          <w:b/>
          <w:bCs/>
          <w:color w:val="0074BD"/>
          <w:sz w:val="28"/>
          <w:szCs w:val="28"/>
        </w:rPr>
        <w:t xml:space="preserve">Слайд 3.  </w:t>
      </w:r>
      <w:r>
        <w:rPr>
          <w:sz w:val="28"/>
          <w:szCs w:val="28"/>
        </w:rPr>
        <w:t xml:space="preserve">Цель проекта — разработать магнитное устройство временной герметизации, которое ставится за минуты и позволяет контролировать герметичность до планового ремонта. Для этого мы проанализировали рынок, определили условия работы, разработали конструкцию и технологию применения, оценили силы и область применения, посчитали экономику и сформулировали ограничения.</w:t>
      </w:r>
    </w:p>
    <w:p>
      <w:pPr>
        <w:spacing w:after="160" w:before="120" w:line="360"/>
      </w:pPr>
      <w:r>
        <w:rPr>
          <w:b/>
          <w:bCs/>
          <w:color w:val="0074BD"/>
          <w:sz w:val="28"/>
          <w:szCs w:val="28"/>
        </w:rPr>
        <w:t xml:space="preserve">Слайд 4.  </w:t>
      </w:r>
      <w:r>
        <w:rPr>
          <w:sz w:val="28"/>
          <w:szCs w:val="28"/>
        </w:rPr>
        <w:t xml:space="preserve">Устройство работает на двух объектах, и это две разные задачи. На магистральных нефтепроводах диаметры от 219 до 1220 миллиметров, а рабочее давление — 6,3–10 мегапаскалей. В резервуаре давление создаёт только столб нефти: у днища около 0,15 мегапаскаля. Разница — в 40–60 раз. Поэтому на резервуаре силы магнитов хватает с запасом, а на магистрали сила — главное ограничение. Отличаются и покрытия: на резервуарах тонкая краска, на подземных магистралях — изоляция 2–3,5 миллиметра. Температура нефти обычно до плюс 40 градусов, а окружающая среда — до минус 50, и это тоже нужно учитывать при выборе резины.</w:t>
      </w:r>
    </w:p>
    <w:p>
      <w:pPr>
        <w:spacing w:after="160" w:before="120" w:line="360"/>
      </w:pPr>
      <w:r>
        <w:rPr>
          <w:b/>
          <w:bCs/>
          <w:color w:val="0074BD"/>
          <w:sz w:val="28"/>
          <w:szCs w:val="28"/>
        </w:rPr>
        <w:t xml:space="preserve">Слайд 5.  </w:t>
      </w:r>
      <w:r>
        <w:rPr>
          <w:sz w:val="28"/>
          <w:szCs w:val="28"/>
        </w:rPr>
        <w:t xml:space="preserve">Что есть на рынке. На магистралях отверстия до 8–12 миллиметров забивают стальными чопиками — быстро, но только ударом и только для малых отверстий. Ремонтный хомут держит до 100 бар, но подходит только к своему диаметру и требует доступа вокруг трубы. Пластырь с прижимным болтом закрывает пробоины до 120 миллиметров, но не мелкие свищи. Ближе всего к нам магнитная оснастка «Магнетпатч»: отверстие 10 миллиметров при 60 атмосферах. Гибкие пластыри и пневмоподушки держат только 1,5–2 бар.</w:t>
      </w:r>
    </w:p>
    <w:p>
      <w:pPr>
        <w:spacing w:after="160" w:before="120" w:line="360"/>
      </w:pPr>
      <w:r>
        <w:rPr>
          <w:b/>
          <w:bCs/>
          <w:color w:val="0074BD"/>
          <w:sz w:val="28"/>
          <w:szCs w:val="28"/>
        </w:rPr>
        <w:t xml:space="preserve">Слайд 6.  </w:t>
      </w:r>
      <w:r>
        <w:rPr>
          <w:sz w:val="28"/>
          <w:szCs w:val="28"/>
        </w:rPr>
        <w:t xml:space="preserve">У существующих решений шесть слабых мест. Их ставят навстречу струе. Сильный магнит прыгает на металл, его нельзя аккуратно поставить. Краска и изоляция снижают силу магнита. Жёсткие устройства подходят под один диаметр. Нет контроля, держит ли заплатка. И мороз до минус 50 со взрывоопасной зоной. Отсюда наша ниша: устройство, которое можно сначала примерить, потом включить, проверить и контролировать.</w:t>
      </w:r>
    </w:p>
    <w:p>
      <w:pPr>
        <w:spacing w:after="160" w:before="120" w:line="360"/>
      </w:pPr>
      <w:r>
        <w:rPr>
          <w:b/>
          <w:bCs/>
          <w:color w:val="0074BD"/>
          <w:sz w:val="28"/>
          <w:szCs w:val="28"/>
        </w:rPr>
        <w:t xml:space="preserve">Слайд 7.  </w:t>
      </w:r>
      <w:r>
        <w:rPr>
          <w:sz w:val="28"/>
          <w:szCs w:val="28"/>
        </w:rPr>
        <w:t xml:space="preserve">Наше решение — МВГП. Главная идея: сначала примерить, потом включить. Пластину ставят на дефект с выключенными магнитами, она свободно двигается и центрируется. Ручным насосом создаётся вакуум: если он держится, уплотнение село плотно. Затем рычагами включаются магниты — без удара и искры. Пока пластину ставят, струя уходит через полый конус в шланг. А после установки манометр показывает, держит ли герметизация.</w:t>
      </w:r>
    </w:p>
    <w:p>
      <w:pPr>
        <w:spacing w:after="160" w:before="120" w:line="360"/>
      </w:pPr>
      <w:r>
        <w:rPr>
          <w:b/>
          <w:bCs/>
          <w:color w:val="0074BD"/>
          <w:sz w:val="28"/>
          <w:szCs w:val="28"/>
        </w:rPr>
        <w:t xml:space="preserve">Слайд 8.  </w:t>
      </w:r>
      <w:r>
        <w:rPr>
          <w:sz w:val="28"/>
          <w:szCs w:val="28"/>
        </w:rPr>
        <w:t xml:space="preserve">Так устройство выглядит на объекте. Слева — трубопровод в основном режиме: радиусная пластина, четыре магнитных блока с рычагами, в центре нажимной винт и кран, спереди манометр. Ремней нет — магнитов хватает для типичных свищей. Справа — резервуар: его стенка на ширине пластины практически плоская, поэтому пластина делается в плоском исполнении. На вертикальной стенке пластину держит трение: магниты прижимают её, а резина не даёт сползти.</w:t>
      </w:r>
    </w:p>
    <w:p>
      <w:pPr>
        <w:spacing w:after="160" w:before="120" w:line="360"/>
      </w:pPr>
      <w:r>
        <w:rPr>
          <w:b/>
          <w:bCs/>
          <w:color w:val="0074BD"/>
          <w:sz w:val="28"/>
          <w:szCs w:val="28"/>
        </w:rPr>
        <w:t xml:space="preserve">Слайд 9.  </w:t>
      </w:r>
      <w:r>
        <w:rPr>
          <w:sz w:val="28"/>
          <w:szCs w:val="28"/>
        </w:rPr>
        <w:t xml:space="preserve">В разрезе: корпус — немагнитная пластина по радиусу трубы, по углам четыре поворотных магнитных блока. Снизу два контура уплотнения из маслобензостойкой резины: внутренний держит давление нефти, внешний образует вакуумную полость, которая потом служит для контроля. В центре — полый латунный конус с нажимным винтом: он работает как чопик, но вводится винтом. Конус выбран потому, что его контакт — узкое кольцо по кромке отверстия, и сила нужна в разы меньше, чем для плоской прокладки. Внутренний контур — второй рубеж на случай, если конус подтечёт.</w:t>
      </w:r>
    </w:p>
    <w:p>
      <w:pPr>
        <w:spacing w:after="160" w:before="120" w:line="360"/>
      </w:pPr>
      <w:r>
        <w:rPr>
          <w:b/>
          <w:bCs/>
          <w:color w:val="0074BD"/>
          <w:sz w:val="28"/>
          <w:szCs w:val="28"/>
        </w:rPr>
        <w:t xml:space="preserve">Слайд 10.  </w:t>
      </w:r>
      <w:r>
        <w:rPr>
          <w:sz w:val="28"/>
          <w:szCs w:val="28"/>
        </w:rPr>
        <w:t xml:space="preserve">На разнесённом виде — состав устройства: два контура уплотнения, полый конус, немагнитная пластина с окнами под полюса магнитов, кран, винт, манометр и четыре магнитных блока. Окна вынесены за контуры уплотнения, чтобы через них не уходил вакуум. Масса комплекта — около 15 килограммов, его ставят один-два человека. Конусы сменные, а для трещин есть плоская прокладка.</w:t>
      </w:r>
    </w:p>
    <w:p>
      <w:pPr>
        <w:spacing w:after="160" w:before="120" w:line="360"/>
      </w:pPr>
      <w:r>
        <w:rPr>
          <w:b/>
          <w:bCs/>
          <w:color w:val="0074BD"/>
          <w:sz w:val="28"/>
          <w:szCs w:val="28"/>
        </w:rPr>
        <w:t xml:space="preserve">Слайд 11.  </w:t>
      </w:r>
      <w:r>
        <w:rPr>
          <w:sz w:val="28"/>
          <w:szCs w:val="28"/>
        </w:rPr>
        <w:t xml:space="preserve">Магнит выключается поворотом, как в магнитных грузозахватах. В положении «выкл» поток замкнут внутри корпуса, пластина свободно двигается. Поворот рычага на 90 градусов направляет поток в стенку трубы — появляется прижим. Электричество не нужно, это важно во взрывоопасной зоне. Пластина сделана из алюминиевого сплава, потому что стальная замкнула бы поток на себя. Вакуум даёт около 1,4 килоньютона, его главная задача — проверить прилегание: если под уплотнением сварной шов или наплыв краски, вакуум не удержится, и пластину переставят до включения магнитов.</w:t>
      </w:r>
    </w:p>
    <w:p>
      <w:pPr>
        <w:spacing w:after="160" w:before="120" w:line="360"/>
      </w:pPr>
      <w:r>
        <w:rPr>
          <w:b/>
          <w:bCs/>
          <w:color w:val="0074BD"/>
          <w:sz w:val="28"/>
          <w:szCs w:val="28"/>
        </w:rPr>
        <w:t xml:space="preserve">Слайд 12.  </w:t>
      </w:r>
      <w:r>
        <w:rPr>
          <w:sz w:val="28"/>
          <w:szCs w:val="28"/>
        </w:rPr>
        <w:t xml:space="preserve">Установка — семь шагов. Газоанализ, средства защиты и очистка латунной щёткой. Примерка: магниты выключены, кран открыт, струя уходит в шланг и сама помогает отцентрировать конус. Вакуум — проверка прилегания. Магниты включаем крест-накрест, чтобы прижим был равномерным. Винтом вводим конус. Закрываем кран — течь остановлена. Дальше манометр полости между контурами: ноль — держит, давление растёт — подтекает, и это видно раньше, чем начнётся течь наружу.</w:t>
      </w:r>
    </w:p>
    <w:p>
      <w:pPr>
        <w:spacing w:after="160" w:before="120" w:line="360"/>
      </w:pPr>
      <w:r>
        <w:rPr>
          <w:b/>
          <w:bCs/>
          <w:color w:val="0074BD"/>
          <w:sz w:val="28"/>
          <w:szCs w:val="28"/>
        </w:rPr>
        <w:t xml:space="preserve">Слайд 13.  </w:t>
      </w:r>
      <w:r>
        <w:rPr>
          <w:sz w:val="28"/>
          <w:szCs w:val="28"/>
        </w:rPr>
        <w:t xml:space="preserve">Здесь два ключевых момента. Слева — примерка: рычаги поперёк, магниты выключены, кран открыт, нефть уходит по шлангу в ёмкость, а не в людей и не в грунт. Справа — установлено: рычаги вдоль трубы, кран закрыт, течь остановлена. Логика как у шарового крана, и положение рычагов видно издалека.</w:t>
      </w:r>
    </w:p>
    <w:p>
      <w:pPr>
        <w:spacing w:after="160" w:before="120" w:line="360"/>
      </w:pPr>
      <w:r>
        <w:rPr>
          <w:b/>
          <w:bCs/>
          <w:color w:val="0074BD"/>
          <w:sz w:val="28"/>
          <w:szCs w:val="28"/>
        </w:rPr>
        <w:t xml:space="preserve">Слайд 14.  </w:t>
      </w:r>
      <w:r>
        <w:rPr>
          <w:sz w:val="28"/>
          <w:szCs w:val="28"/>
        </w:rPr>
        <w:t xml:space="preserve">Теперь расчёт. Нужная сила для конуса — это давление нефти на площадь отверстия плюс обжатие резины, с запасом два. Для свища 10 миллиметров при 6,3 мегапаскаля нужно около 4,8 килоньютона. Имеющаяся сила — четыре блока по 300 килограмм-сил с поправками на краску, толщину стенки и кривизну, плюс вакуум. На резервуаре или на магистрали со снятой изоляцией это около 8,4 килоньютона, на тонкостенной надземной трубе — 6,3, а на неснятой изоляции — всего 1,5. Важно, что обжатие резины требует даже больше силы, чем само давление нефти. Это оценка порядка величин, её подтвердят моделирование и испытания.</w:t>
      </w:r>
    </w:p>
    <w:p>
      <w:pPr>
        <w:spacing w:after="160" w:before="120" w:line="360"/>
      </w:pPr>
      <w:r>
        <w:rPr>
          <w:b/>
          <w:bCs/>
          <w:color w:val="0074BD"/>
          <w:sz w:val="28"/>
          <w:szCs w:val="28"/>
        </w:rPr>
        <w:t xml:space="preserve">Слайд 15.  </w:t>
      </w:r>
      <w:r>
        <w:rPr>
          <w:sz w:val="28"/>
          <w:szCs w:val="28"/>
        </w:rPr>
        <w:t xml:space="preserve">На графике — максимальное отверстие, которое пластина держит без ремней. При рабочем давлении магистрали 6,3 мегапаскаля это 13–16 миллиметров, а типичные коррозионные свищи — от 1 до 10 миллиметров, то есть закрываются с запасом. На резервуаре ограничивает уже размер пластины, а не магниты. Трещины тяжелее: 50-миллиметровая держится примерно до 2,2 мегапаскаля. На неснятой изоляции — только до 1 мегапаскаля.</w:t>
      </w:r>
    </w:p>
    <w:p>
      <w:pPr>
        <w:spacing w:after="160" w:before="120" w:line="360"/>
      </w:pPr>
      <w:r>
        <w:rPr>
          <w:b/>
          <w:bCs/>
          <w:color w:val="0074BD"/>
          <w:sz w:val="28"/>
          <w:szCs w:val="28"/>
        </w:rPr>
        <w:t xml:space="preserve">Слайд 16.  </w:t>
      </w:r>
      <w:r>
        <w:rPr>
          <w:sz w:val="28"/>
          <w:szCs w:val="28"/>
        </w:rPr>
        <w:t xml:space="preserve">Где магнитов не хватает: крупные отверстия и трещины при высоком давлении и неснятая изоляция. Главное — страховка: если конус подтечёт, на пластину придётся около 26 килоньютонов, втрое больше силы магнитов, плюс гидроудары. Для этого есть режим Б — стяжные ремни поверх пластины. Два ремня дают около 30 килоньютонов, и им не мешает изоляция. На трубах меньше 219 миллиметров проще обычный хомут. Ремень с натяжением 10 килоньютонов на дуге около 110 градусов прижимает пластину с силой примерно 16 килоньютонов.</w:t>
      </w:r>
    </w:p>
    <w:p>
      <w:pPr>
        <w:spacing w:after="160" w:before="120" w:line="360"/>
      </w:pPr>
      <w:r>
        <w:rPr>
          <w:b/>
          <w:bCs/>
          <w:color w:val="0074BD"/>
          <w:sz w:val="28"/>
          <w:szCs w:val="28"/>
        </w:rPr>
        <w:t xml:space="preserve">Слайд 17.  </w:t>
      </w:r>
      <w:r>
        <w:rPr>
          <w:sz w:val="28"/>
          <w:szCs w:val="28"/>
        </w:rPr>
        <w:t xml:space="preserve">Зачищать трубу под магнитами не нужно: краска и плотная ржавчина работают как небольшой зазор, и он уже заложен в расчёт. Зачистка нужна только на подземной магистрали с изоляцией и только в зоне уплотнения. Это ручная работа скребком, без искр, то есть не огневые работы. Инструмент — латунь и бронза, магниты переключаются только рычагом, людям с кардиостимуляторами работать с устройством нельзя.</w:t>
      </w:r>
    </w:p>
    <w:p>
      <w:pPr>
        <w:spacing w:after="160" w:before="120" w:line="360"/>
      </w:pPr>
      <w:r>
        <w:rPr>
          <w:b/>
          <w:bCs/>
          <w:color w:val="0074BD"/>
          <w:sz w:val="28"/>
          <w:szCs w:val="28"/>
        </w:rPr>
        <w:t xml:space="preserve">Слайд 18.  </w:t>
      </w:r>
      <w:r>
        <w:rPr>
          <w:sz w:val="28"/>
          <w:szCs w:val="28"/>
        </w:rPr>
        <w:t xml:space="preserve">В сравнении с аналогами только МВГП подходит и для труб, и для резервуаров, ставится без удара, позволяет примерку, а вакуум и манометр дают проверку прилегания и контроль после установки. Слабое место — высокое давление: здесь пластина догоняет хомут только с ремнями. Главное наше преимущество — безопасная, проверяемая установка и универсальность.</w:t>
      </w:r>
    </w:p>
    <w:p>
      <w:pPr>
        <w:spacing w:after="160" w:before="120" w:line="360"/>
      </w:pPr>
      <w:r>
        <w:rPr>
          <w:b/>
          <w:bCs/>
          <w:color w:val="0074BD"/>
          <w:sz w:val="28"/>
          <w:szCs w:val="28"/>
        </w:rPr>
        <w:t xml:space="preserve">Слайд 19.  </w:t>
      </w:r>
      <w:r>
        <w:rPr>
          <w:sz w:val="28"/>
          <w:szCs w:val="28"/>
        </w:rPr>
        <w:t xml:space="preserve">Экономика. Самая дорогая часть комплекта — четыре магнитных блока, около 28 тысяч рублей. Прямые затраты на комплект — около 77 тысяч, с накладными — 92 тысячи. При наценке 40 процентов цена — около 129 тысяч рублей без НДС, то есть маржа — около 37 тысяч рублей с комплекта. Цены комплектующих мы оценили по серийным аналогам, например по магнитным захватам на 100 килограммов.</w:t>
      </w:r>
    </w:p>
    <w:p>
      <w:pPr>
        <w:spacing w:after="160" w:before="120" w:line="360"/>
      </w:pPr>
      <w:r>
        <w:rPr>
          <w:b/>
          <w:bCs/>
          <w:color w:val="0074BD"/>
          <w:sz w:val="28"/>
          <w:szCs w:val="28"/>
        </w:rPr>
        <w:t xml:space="preserve">Слайд 20.  </w:t>
      </w:r>
      <w:r>
        <w:rPr>
          <w:sz w:val="28"/>
          <w:szCs w:val="28"/>
        </w:rPr>
        <w:t xml:space="preserve">Эффект для заказчика. Расход через отверстие считаем по формуле истечения: свищ 10 миллиметров при 2,5 мегапаскаля — около 11 тонн нефти в час. МВГП не нужно подбирать по диаметру и монтировать вокруг трубы, поэтому она останавливает течь хотя бы на час раньше хомута. Это 425 тысяч рублей при цене нефти 60 долларов и около 650 тысяч при сентябрьской цене Urals. Одна такая течь окупает три комплекта — без учёта экологии, штрафов и простоя. Даже если выигрыш по времени всего 20 минут, комплект окупается уже на первой течи.</w:t>
      </w:r>
    </w:p>
    <w:p>
      <w:pPr>
        <w:spacing w:after="160" w:before="120" w:line="360"/>
      </w:pPr>
      <w:r>
        <w:rPr>
          <w:b/>
          <w:bCs/>
          <w:color w:val="0074BD"/>
          <w:sz w:val="28"/>
          <w:szCs w:val="28"/>
        </w:rPr>
        <w:t xml:space="preserve">Слайд 21.  </w:t>
      </w:r>
      <w:r>
        <w:rPr>
          <w:sz w:val="28"/>
          <w:szCs w:val="28"/>
        </w:rPr>
        <w:t xml:space="preserve">Разработка до серии — около 3 миллионов рублей: моделирование, документация, прототипы, стенд, испытания, патентование и оснастка. При продажах 40, 80 и затем по 120 комплектов в год проект окупается примерно за 2 года, с дисконтированием — за 2,6. Чистая приведённая стоимость за пять лет — около 3,5 миллиона рублей, внутренняя норма доходности — 53 процента, намного выше ставки 18 процентов. Затраты на разработку окупаются после продажи примерно 81 комплекта. Покупатели — аварийные службы трубопроводов, нефтебазы, НПЗ и промыслы.</w:t>
      </w:r>
    </w:p>
    <w:p>
      <w:pPr>
        <w:spacing w:after="160" w:before="120" w:line="360"/>
      </w:pPr>
      <w:r>
        <w:rPr>
          <w:b/>
          <w:bCs/>
          <w:color w:val="0074BD"/>
          <w:sz w:val="28"/>
          <w:szCs w:val="28"/>
        </w:rPr>
        <w:t xml:space="preserve">Слайд 22.  </w:t>
      </w:r>
      <w:r>
        <w:rPr>
          <w:sz w:val="28"/>
          <w:szCs w:val="28"/>
        </w:rPr>
        <w:t xml:space="preserve">Дальше — моделирование магнитной системы, 3D-модель и типоразмерный ряд, прототип и испытания на отрыв, герметичность и мороз, патентный поиск и опытная эксплуатация. Главная цель — подтвердить расчётную область применения на прототипе. Моделирование, например в программе FEMM, заменит наши табличные коэффициенты точными значениями, а патентный поиск подтвердит новизну сочетания решений.</w:t>
      </w:r>
    </w:p>
    <w:p>
      <w:pPr>
        <w:spacing w:after="160" w:before="120" w:line="360"/>
      </w:pPr>
      <w:r>
        <w:rPr>
          <w:b/>
          <w:bCs/>
          <w:color w:val="0074BD"/>
          <w:sz w:val="28"/>
          <w:szCs w:val="28"/>
        </w:rPr>
        <w:t xml:space="preserve">Слайд 23.  </w:t>
      </w:r>
      <w:r>
        <w:rPr>
          <w:sz w:val="28"/>
          <w:szCs w:val="28"/>
        </w:rPr>
        <w:t xml:space="preserve">Подведу итог. Существующие средства либо держат давление, но ставятся медленно, либо быстрые, но без контроля. Мы предложили пластину, которую можно примерить, проверить вакуумом, включить без удара и контролировать по манометру. Она закрывает течи в резервуарах и свищи до 13–16 миллиметров на магистрали, а для крупных дефектов есть ремень. Комплект стоит около 129 тысяч рублей, одна остановленная течь сохраняет 0,4–0,65 миллиона, проект окупается примерно за два года. Устройство ставится без огневых работ, и следующий шаг — прототип и испытания.</w:t>
      </w:r>
    </w:p>
    <w:p>
      <w:pPr>
        <w:spacing w:after="160" w:before="120" w:line="360"/>
      </w:pPr>
      <w:r>
        <w:rPr>
          <w:b/>
          <w:bCs/>
          <w:color w:val="0074BD"/>
          <w:sz w:val="28"/>
          <w:szCs w:val="28"/>
        </w:rPr>
        <w:t xml:space="preserve">Слайд 24.  </w:t>
      </w:r>
      <w:r>
        <w:rPr>
          <w:sz w:val="28"/>
          <w:szCs w:val="28"/>
        </w:rPr>
        <w:t xml:space="preserve">Спасибо за внимание! Готов ответить на ваши вопросы.</w:t>
      </w:r>
    </w:p>
    <w:p>
      <w:pPr>
        <w:pStyle w:val="Heading1"/>
        <w:pageBreakBefore/>
      </w:pPr>
      <w:r>
        <w:t xml:space="preserve">Шпаргалка: ключевые цифры для ответов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tcBorders>
              <w:top w:val="single" w:color="C9D6E6" w:sz="4"/>
              <w:left w:val="single" w:color="C9D6E6" w:sz="4"/>
              <w:bottom w:val="single" w:color="C9D6E6" w:sz="4"/>
              <w:right w:val="single" w:color="C9D6E6" w:sz="4"/>
            </w:tcBorders>
            <w:shd w:fill="023A84" w:color="auto" w:val="clear"/>
            <w:tcMar>
              <w:top w:type="dxa" w:w="60"/>
              <w:left w:type="dxa" w:w="100"/>
              <w:bottom w:type="dxa" w:w="60"/>
              <w:right w:type="dxa" w:w="100"/>
            </w:tcMar>
          </w:tcPr>
          <w:p>
            <w:r>
              <w:rPr>
                <w:b/>
                <w:bCs/>
                <w:color w:val="FFFFFF"/>
                <w:sz w:val="22"/>
                <w:szCs w:val="22"/>
              </w:rPr>
              <w:t xml:space="preserve">Что</w:t>
            </w:r>
          </w:p>
        </w:tc>
        <w:tc>
          <w:tcPr>
            <w:tcW w:type="dxa" w:w="3800"/>
            <w:tcBorders>
              <w:top w:val="single" w:color="C9D6E6" w:sz="4"/>
              <w:left w:val="single" w:color="C9D6E6" w:sz="4"/>
              <w:bottom w:val="single" w:color="C9D6E6" w:sz="4"/>
              <w:right w:val="single" w:color="C9D6E6" w:sz="4"/>
            </w:tcBorders>
            <w:shd w:fill="023A84" w:color="auto" w:val="clear"/>
            <w:tcMar>
              <w:top w:type="dxa" w:w="60"/>
              <w:left w:type="dxa" w:w="100"/>
              <w:bottom w:type="dxa" w:w="60"/>
              <w:right w:type="dxa" w:w="100"/>
            </w:tcMar>
          </w:tcPr>
          <w:p>
            <w:r>
              <w:rPr>
                <w:b/>
                <w:bCs/>
                <w:color w:val="FFFFFF"/>
                <w:sz w:val="22"/>
                <w:szCs w:val="22"/>
              </w:rPr>
              <w:t xml:space="preserve">Значение</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Давление: магистраль / резервуар</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6,3–10 МПа / ≈ 0,15 МПа</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Сила 4 магнитов + вакуум</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 8,4 кН (вакуум ≈ 1,4 кН)</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Закрывает без ремней при 6,3 МПа</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свищи до 13–16 мм</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Режим Б, два ремня</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 30 кН</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Масса комплекта</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 15 кг</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Себестоимость / цена комплекта</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 92 / 129 тыс. ₽ без НДС</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Потеря через свищ Ø10 мм при 2,5 МПа</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 11 т нефти в час</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Эффект одной остановленной течи</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0,4–0,65 млн ₽</w:t>
            </w:r>
          </w:p>
        </w:tc>
      </w:tr>
      <w:tr>
        <w:tc>
          <w:tcPr>
            <w:tcW w:type="dxa" w:w="52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Разработка до серии / окупаемость</w:t>
            </w:r>
          </w:p>
        </w:tc>
        <w:tc>
          <w:tcPr>
            <w:tcW w:type="dxa" w:w="3800"/>
            <w:tcBorders>
              <w:top w:val="single" w:color="C9D6E6" w:sz="4"/>
              <w:left w:val="single" w:color="C9D6E6" w:sz="4"/>
              <w:bottom w:val="single" w:color="C9D6E6" w:sz="4"/>
              <w:right w:val="single" w:color="C9D6E6" w:sz="4"/>
            </w:tcBorders>
            <w:tcMar>
              <w:top w:type="dxa" w:w="60"/>
              <w:left w:type="dxa" w:w="100"/>
              <w:bottom w:type="dxa" w:w="60"/>
              <w:right w:type="dxa" w:w="100"/>
            </w:tcMar>
          </w:tcPr>
          <w:p>
            <w:r>
              <w:rPr>
                <w:b w:val="false"/>
                <w:bCs w:val="false"/>
                <w:sz w:val="22"/>
                <w:szCs w:val="22"/>
              </w:rPr>
              <w:t xml:space="preserve">≈ 3 млн ₽ / ≈ 2 года</w:t>
            </w:r>
          </w:p>
        </w:tc>
      </w:tr>
    </w:tbl>
    <w:sectPr>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023A84"/>
      <w:sz w:val="36"/>
      <w:szCs w:val="36"/>
    </w:rPr>
  </w:style>
  <w:style w:type="paragraph" w:styleId="Heading1">
    <w:name w:val="Heading 1"/>
    <w:basedOn w:val="Normal"/>
    <w:next w:val="Normal"/>
    <w:qFormat/>
    <w:pPr>
      <w:spacing w:after="140" w:before="280"/>
      <w:outlineLvl w:val="0"/>
    </w:pPr>
    <w:rPr>
      <w:rFonts w:ascii="Arial" w:cs="Arial" w:eastAsia="Arial" w:hAnsi="Arial"/>
      <w:b/>
      <w:bCs/>
      <w:color w:val="023A8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Выступление МВГП 15 минут</dc:title>
  <dc:creator>Архипов В.В.</dc:creator>
  <cp:lastModifiedBy>Un-named</cp:lastModifiedBy>
  <cp:revision>1</cp:revision>
  <dcterms:created xsi:type="dcterms:W3CDTF">2026-10-05T11:45:10.660Z</dcterms:created>
  <dcterms:modified xsi:type="dcterms:W3CDTF">2026-10-05T11:45:10.660Z</dcterms:modified>
</cp:coreProperties>
</file>

<file path=docProps/custom.xml><?xml version="1.0" encoding="utf-8"?>
<Properties xmlns="http://schemas.openxmlformats.org/officeDocument/2006/custom-properties" xmlns:vt="http://schemas.openxmlformats.org/officeDocument/2006/docPropsVTypes"/>
</file>