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B0" w:rsidRPr="002A1E65" w:rsidRDefault="002A1E65">
      <w:pPr>
        <w:pStyle w:val="Heading1"/>
        <w:rPr>
          <w:rFonts w:ascii="Arial" w:hAnsi="Arial" w:cs="Arial"/>
        </w:rPr>
      </w:pPr>
      <w:r>
        <w:rPr>
          <w:rFonts w:ascii="Arial" w:hAnsi="Arial" w:cs="Arial"/>
        </w:rPr>
        <w:t>Genotyping-by-sequencing workshop</w:t>
      </w:r>
      <w:r w:rsidR="00517D4A">
        <w:rPr>
          <w:rFonts w:ascii="Arial" w:hAnsi="Arial" w:cs="Arial"/>
        </w:rPr>
        <w:br/>
        <w:t>May 12-28, 2015</w:t>
      </w:r>
      <w:r w:rsidR="00997E2B">
        <w:rPr>
          <w:rFonts w:ascii="Arial" w:hAnsi="Arial" w:cs="Arial"/>
        </w:rPr>
        <w:br/>
        <w:t>Tuesday-Thursday 10am-12pm</w:t>
      </w:r>
      <w:r w:rsidR="00F7372A">
        <w:rPr>
          <w:rFonts w:ascii="Arial" w:hAnsi="Arial" w:cs="Arial"/>
        </w:rPr>
        <w:t>, ALS 3005</w:t>
      </w:r>
    </w:p>
    <w:tbl>
      <w:tblPr>
        <w:tblW w:w="5000" w:type="pct"/>
        <w:tblCellMar>
          <w:left w:w="0" w:type="dxa"/>
          <w:right w:w="0" w:type="dxa"/>
        </w:tblCellMar>
        <w:tblLook w:val="04A0" w:firstRow="1" w:lastRow="0" w:firstColumn="1" w:lastColumn="0" w:noHBand="0" w:noVBand="1"/>
        <w:tblDescription w:val="Course information"/>
      </w:tblPr>
      <w:tblGrid>
        <w:gridCol w:w="1260"/>
        <w:gridCol w:w="4501"/>
        <w:gridCol w:w="719"/>
        <w:gridCol w:w="4320"/>
      </w:tblGrid>
      <w:tr w:rsidR="006740B0" w:rsidRPr="002A1E65">
        <w:tc>
          <w:tcPr>
            <w:tcW w:w="583" w:type="pct"/>
          </w:tcPr>
          <w:p w:rsidR="006740B0" w:rsidRPr="002A1E65" w:rsidRDefault="005654A3">
            <w:pPr>
              <w:rPr>
                <w:rFonts w:ascii="Arial" w:hAnsi="Arial" w:cs="Arial"/>
              </w:rPr>
            </w:pPr>
            <w:r w:rsidRPr="002A1E65">
              <w:rPr>
                <w:rStyle w:val="Heading2Char"/>
                <w:rFonts w:ascii="Arial" w:hAnsi="Arial" w:cs="Arial"/>
              </w:rPr>
              <w:t>Instructor</w:t>
            </w:r>
          </w:p>
        </w:tc>
        <w:tc>
          <w:tcPr>
            <w:tcW w:w="2084" w:type="pct"/>
          </w:tcPr>
          <w:p w:rsidR="006740B0" w:rsidRPr="002A1E65" w:rsidRDefault="002A1E65" w:rsidP="002A1E65">
            <w:pPr>
              <w:rPr>
                <w:rFonts w:ascii="Arial" w:hAnsi="Arial" w:cs="Arial"/>
              </w:rPr>
            </w:pPr>
            <w:r>
              <w:rPr>
                <w:rFonts w:ascii="Arial" w:hAnsi="Arial" w:cs="Arial"/>
              </w:rPr>
              <w:t>Kelly Vining</w:t>
            </w:r>
          </w:p>
        </w:tc>
        <w:tc>
          <w:tcPr>
            <w:tcW w:w="333" w:type="pct"/>
          </w:tcPr>
          <w:p w:rsidR="006740B0" w:rsidRPr="002A1E65" w:rsidRDefault="005654A3">
            <w:pPr>
              <w:rPr>
                <w:rFonts w:ascii="Arial" w:hAnsi="Arial" w:cs="Arial"/>
              </w:rPr>
            </w:pPr>
            <w:r w:rsidRPr="002A1E65">
              <w:rPr>
                <w:rStyle w:val="Heading2Char"/>
                <w:rFonts w:ascii="Arial" w:hAnsi="Arial" w:cs="Arial"/>
              </w:rPr>
              <w:t>Phone</w:t>
            </w:r>
          </w:p>
        </w:tc>
        <w:tc>
          <w:tcPr>
            <w:tcW w:w="2000" w:type="pct"/>
          </w:tcPr>
          <w:p w:rsidR="006740B0" w:rsidRPr="002A1E65" w:rsidRDefault="002A1E65" w:rsidP="002A1E65">
            <w:pPr>
              <w:rPr>
                <w:rFonts w:ascii="Arial" w:hAnsi="Arial" w:cs="Arial"/>
              </w:rPr>
            </w:pPr>
            <w:r>
              <w:rPr>
                <w:rFonts w:ascii="Arial" w:hAnsi="Arial" w:cs="Arial"/>
              </w:rPr>
              <w:t>541-737-0018</w:t>
            </w:r>
          </w:p>
        </w:tc>
      </w:tr>
      <w:tr w:rsidR="006740B0" w:rsidRPr="002A1E65">
        <w:tc>
          <w:tcPr>
            <w:tcW w:w="583" w:type="pct"/>
          </w:tcPr>
          <w:p w:rsidR="006740B0" w:rsidRPr="002A1E65" w:rsidRDefault="005654A3">
            <w:pPr>
              <w:rPr>
                <w:rFonts w:ascii="Arial" w:hAnsi="Arial" w:cs="Arial"/>
              </w:rPr>
            </w:pPr>
            <w:r w:rsidRPr="002A1E65">
              <w:rPr>
                <w:rStyle w:val="Heading2Char"/>
                <w:rFonts w:ascii="Arial" w:hAnsi="Arial" w:cs="Arial"/>
              </w:rPr>
              <w:t>Office</w:t>
            </w:r>
          </w:p>
        </w:tc>
        <w:tc>
          <w:tcPr>
            <w:tcW w:w="2084" w:type="pct"/>
          </w:tcPr>
          <w:p w:rsidR="006740B0" w:rsidRPr="002A1E65" w:rsidRDefault="002A1E65" w:rsidP="002A1E65">
            <w:pPr>
              <w:rPr>
                <w:rFonts w:ascii="Arial" w:hAnsi="Arial" w:cs="Arial"/>
              </w:rPr>
            </w:pPr>
            <w:r>
              <w:rPr>
                <w:rFonts w:ascii="Arial" w:hAnsi="Arial" w:cs="Arial"/>
              </w:rPr>
              <w:t>3135 ALS</w:t>
            </w:r>
          </w:p>
        </w:tc>
        <w:tc>
          <w:tcPr>
            <w:tcW w:w="333" w:type="pct"/>
          </w:tcPr>
          <w:p w:rsidR="006740B0" w:rsidRPr="002A1E65" w:rsidRDefault="005654A3">
            <w:pPr>
              <w:rPr>
                <w:rFonts w:ascii="Arial" w:hAnsi="Arial" w:cs="Arial"/>
              </w:rPr>
            </w:pPr>
            <w:r w:rsidRPr="002A1E65">
              <w:rPr>
                <w:rStyle w:val="Heading2Char"/>
                <w:rFonts w:ascii="Arial" w:hAnsi="Arial" w:cs="Arial"/>
              </w:rPr>
              <w:t>E-mail</w:t>
            </w:r>
          </w:p>
        </w:tc>
        <w:tc>
          <w:tcPr>
            <w:tcW w:w="2000" w:type="pct"/>
          </w:tcPr>
          <w:p w:rsidR="006740B0" w:rsidRPr="002A1E65" w:rsidRDefault="002A1E65" w:rsidP="002A1E65">
            <w:pPr>
              <w:rPr>
                <w:rFonts w:ascii="Arial" w:hAnsi="Arial" w:cs="Arial"/>
              </w:rPr>
            </w:pPr>
            <w:r>
              <w:rPr>
                <w:rFonts w:ascii="Arial" w:hAnsi="Arial" w:cs="Arial"/>
              </w:rPr>
              <w:t>Kelly.Vining@oregonstate.edu</w:t>
            </w:r>
          </w:p>
        </w:tc>
      </w:tr>
      <w:tr w:rsidR="006740B0" w:rsidRPr="002A1E65">
        <w:tc>
          <w:tcPr>
            <w:tcW w:w="583" w:type="pct"/>
            <w:tcBorders>
              <w:bottom w:val="single" w:sz="12" w:space="0" w:color="2E74B5" w:themeColor="accent1" w:themeShade="BF"/>
            </w:tcBorders>
          </w:tcPr>
          <w:p w:rsidR="006740B0" w:rsidRPr="002A1E65" w:rsidRDefault="005654A3">
            <w:pPr>
              <w:rPr>
                <w:rFonts w:ascii="Arial" w:hAnsi="Arial" w:cs="Arial"/>
              </w:rPr>
            </w:pPr>
            <w:r w:rsidRPr="002A1E65">
              <w:rPr>
                <w:rStyle w:val="Heading2Char"/>
                <w:rFonts w:ascii="Arial" w:hAnsi="Arial" w:cs="Arial"/>
              </w:rPr>
              <w:t>Office Hours</w:t>
            </w:r>
          </w:p>
        </w:tc>
        <w:tc>
          <w:tcPr>
            <w:tcW w:w="2084" w:type="pct"/>
            <w:tcBorders>
              <w:bottom w:val="single" w:sz="12" w:space="0" w:color="2E74B5" w:themeColor="accent1" w:themeShade="BF"/>
            </w:tcBorders>
          </w:tcPr>
          <w:p w:rsidR="006740B0" w:rsidRPr="002A1E65" w:rsidRDefault="00517D4A" w:rsidP="00517D4A">
            <w:pPr>
              <w:rPr>
                <w:rFonts w:ascii="Arial" w:hAnsi="Arial" w:cs="Arial"/>
              </w:rPr>
            </w:pPr>
            <w:r>
              <w:rPr>
                <w:rFonts w:ascii="Arial" w:hAnsi="Arial" w:cs="Arial"/>
              </w:rPr>
              <w:t>Tues-Thurs 2-3 pm</w:t>
            </w:r>
          </w:p>
        </w:tc>
        <w:tc>
          <w:tcPr>
            <w:tcW w:w="333" w:type="pct"/>
            <w:tcBorders>
              <w:bottom w:val="single" w:sz="12" w:space="0" w:color="2E74B5" w:themeColor="accent1" w:themeShade="BF"/>
            </w:tcBorders>
          </w:tcPr>
          <w:p w:rsidR="006740B0" w:rsidRPr="002A1E65" w:rsidRDefault="006740B0">
            <w:pPr>
              <w:pStyle w:val="Heading2"/>
              <w:rPr>
                <w:rFonts w:ascii="Arial" w:hAnsi="Arial" w:cs="Arial"/>
              </w:rPr>
            </w:pPr>
          </w:p>
        </w:tc>
        <w:tc>
          <w:tcPr>
            <w:tcW w:w="2000" w:type="pct"/>
            <w:tcBorders>
              <w:bottom w:val="single" w:sz="12" w:space="0" w:color="2E74B5" w:themeColor="accent1" w:themeShade="BF"/>
            </w:tcBorders>
          </w:tcPr>
          <w:p w:rsidR="006740B0" w:rsidRPr="002A1E65" w:rsidRDefault="006740B0">
            <w:pPr>
              <w:rPr>
                <w:rFonts w:ascii="Arial" w:hAnsi="Arial" w:cs="Arial"/>
              </w:rPr>
            </w:pPr>
          </w:p>
        </w:tc>
      </w:tr>
    </w:tbl>
    <w:p w:rsidR="006740B0" w:rsidRPr="002A1E65" w:rsidRDefault="005654A3">
      <w:pPr>
        <w:pStyle w:val="Heading3"/>
        <w:rPr>
          <w:rFonts w:ascii="Arial" w:hAnsi="Arial" w:cs="Arial"/>
        </w:rPr>
      </w:pPr>
      <w:r w:rsidRPr="002A1E65">
        <w:rPr>
          <w:rFonts w:ascii="Arial" w:hAnsi="Arial" w:cs="Arial"/>
        </w:rPr>
        <w:t>Description:</w:t>
      </w:r>
    </w:p>
    <w:p w:rsidR="006740B0" w:rsidRPr="002A1E65" w:rsidRDefault="002A1E65">
      <w:pPr>
        <w:rPr>
          <w:rFonts w:ascii="Arial" w:hAnsi="Arial" w:cs="Arial"/>
        </w:rPr>
      </w:pPr>
      <w:r>
        <w:rPr>
          <w:rFonts w:ascii="Arial" w:hAnsi="Arial" w:cs="Arial"/>
        </w:rPr>
        <w:t>Genotyping-by-sequencing (GBS) is a powerful technology that is being applied to a broad range of research projects in molecular genetics. This three-week workshop intends to explore all aspects of GBS, from applications to experimental design considerations, data formats, and data processing. We’ll use several popular software packages to manipulate, analyze and visualize GBS data</w:t>
      </w:r>
      <w:r w:rsidR="00517D4A">
        <w:rPr>
          <w:rFonts w:ascii="Arial" w:hAnsi="Arial" w:cs="Arial"/>
        </w:rPr>
        <w:t xml:space="preserve">. In class discussions, GBS veterans will have an opportunity to share their experiences with GBS newbies. We’ll also talk about GBS services provided by the OSU Center for Genome Research and Biocomputing.  </w:t>
      </w:r>
      <w:r>
        <w:rPr>
          <w:rFonts w:ascii="Arial" w:hAnsi="Arial" w:cs="Arial"/>
        </w:rPr>
        <w:t xml:space="preserve"> </w:t>
      </w:r>
    </w:p>
    <w:p w:rsidR="006740B0" w:rsidRPr="002A1E65" w:rsidRDefault="005654A3">
      <w:pPr>
        <w:pStyle w:val="Heading3"/>
        <w:rPr>
          <w:rFonts w:ascii="Arial" w:hAnsi="Arial" w:cs="Arial"/>
        </w:rPr>
      </w:pPr>
      <w:r w:rsidRPr="002A1E65">
        <w:rPr>
          <w:rFonts w:ascii="Arial" w:hAnsi="Arial" w:cs="Arial"/>
        </w:rPr>
        <w:t>Goals:</w:t>
      </w:r>
    </w:p>
    <w:p w:rsidR="006740B0" w:rsidRPr="002A1E65" w:rsidRDefault="00517D4A">
      <w:pPr>
        <w:rPr>
          <w:rFonts w:ascii="Arial" w:hAnsi="Arial" w:cs="Arial"/>
        </w:rPr>
      </w:pPr>
      <w:r>
        <w:rPr>
          <w:rFonts w:ascii="Arial" w:hAnsi="Arial" w:cs="Arial"/>
        </w:rPr>
        <w:t>Understand how GBS works</w:t>
      </w:r>
    </w:p>
    <w:p w:rsidR="006740B0" w:rsidRPr="002A1E65" w:rsidRDefault="00517D4A">
      <w:pPr>
        <w:rPr>
          <w:rFonts w:ascii="Arial" w:hAnsi="Arial" w:cs="Arial"/>
        </w:rPr>
      </w:pPr>
      <w:r>
        <w:rPr>
          <w:rFonts w:ascii="Arial" w:hAnsi="Arial" w:cs="Arial"/>
        </w:rPr>
        <w:t>Gain experience with bioinformatic processing of GBS data</w:t>
      </w:r>
    </w:p>
    <w:p w:rsidR="006740B0" w:rsidRPr="002A1E65" w:rsidRDefault="00517D4A">
      <w:pPr>
        <w:rPr>
          <w:rFonts w:ascii="Arial" w:hAnsi="Arial" w:cs="Arial"/>
        </w:rPr>
      </w:pPr>
      <w:r>
        <w:rPr>
          <w:rFonts w:ascii="Arial" w:hAnsi="Arial" w:cs="Arial"/>
        </w:rPr>
        <w:t xml:space="preserve">Learn what tools and services are available at the CGRB </w:t>
      </w:r>
    </w:p>
    <w:p w:rsidR="006740B0" w:rsidRPr="002A1E65" w:rsidRDefault="005654A3">
      <w:pPr>
        <w:pStyle w:val="Heading3"/>
        <w:rPr>
          <w:rFonts w:ascii="Arial" w:hAnsi="Arial" w:cs="Arial"/>
        </w:rPr>
      </w:pPr>
      <w:r w:rsidRPr="002A1E65">
        <w:rPr>
          <w:rFonts w:ascii="Arial" w:hAnsi="Arial" w:cs="Arial"/>
        </w:rPr>
        <w:t>Requirements:</w:t>
      </w:r>
    </w:p>
    <w:p w:rsidR="006740B0" w:rsidRPr="002A1E65" w:rsidRDefault="00517D4A">
      <w:pPr>
        <w:rPr>
          <w:rFonts w:ascii="Arial" w:hAnsi="Arial" w:cs="Arial"/>
        </w:rPr>
      </w:pPr>
      <w:r>
        <w:rPr>
          <w:rFonts w:ascii="Arial" w:hAnsi="Arial" w:cs="Arial"/>
        </w:rPr>
        <w:t xml:space="preserve">CGRB account </w:t>
      </w:r>
      <w:r>
        <w:rPr>
          <w:rFonts w:ascii="Arial" w:hAnsi="Arial" w:cs="Arial"/>
        </w:rPr>
        <w:br/>
        <w:t xml:space="preserve">Basic command line familiarity </w:t>
      </w:r>
      <w:r w:rsidR="00997E2B">
        <w:rPr>
          <w:rFonts w:ascii="Arial" w:hAnsi="Arial" w:cs="Arial"/>
        </w:rPr>
        <w:br/>
        <w:t>R experience helpful, but not required</w:t>
      </w:r>
    </w:p>
    <w:p w:rsidR="006740B0" w:rsidRPr="002A1E65" w:rsidRDefault="005654A3">
      <w:pPr>
        <w:pStyle w:val="Heading3"/>
        <w:rPr>
          <w:rFonts w:ascii="Arial" w:hAnsi="Arial" w:cs="Arial"/>
        </w:rPr>
      </w:pPr>
      <w:r w:rsidRPr="002A1E65">
        <w:rPr>
          <w:rFonts w:ascii="Arial" w:hAnsi="Arial" w:cs="Arial"/>
        </w:rPr>
        <w:t>Course Schedule:</w:t>
      </w:r>
    </w:p>
    <w:tbl>
      <w:tblPr>
        <w:tblStyle w:val="GridTable1Light-Accent1"/>
        <w:tblW w:w="5750" w:type="pct"/>
        <w:tblLayout w:type="fixed"/>
        <w:tblCellMar>
          <w:left w:w="0" w:type="dxa"/>
          <w:right w:w="0" w:type="dxa"/>
        </w:tblCellMar>
        <w:tblLook w:val="04A0" w:firstRow="1" w:lastRow="0" w:firstColumn="1" w:lastColumn="0" w:noHBand="0" w:noVBand="1"/>
        <w:tblDescription w:val="Course schedule"/>
      </w:tblPr>
      <w:tblGrid>
        <w:gridCol w:w="1800"/>
        <w:gridCol w:w="6481"/>
        <w:gridCol w:w="4139"/>
      </w:tblGrid>
      <w:tr w:rsidR="006740B0" w:rsidRPr="002A1E65" w:rsidTr="002428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0" w:type="dxa"/>
          </w:tcPr>
          <w:p w:rsidR="006740B0" w:rsidRPr="002A1E65" w:rsidRDefault="00517D4A">
            <w:pPr>
              <w:spacing w:line="276" w:lineRule="auto"/>
              <w:rPr>
                <w:rFonts w:ascii="Arial" w:hAnsi="Arial" w:cs="Arial"/>
              </w:rPr>
            </w:pPr>
            <w:r>
              <w:rPr>
                <w:rFonts w:ascii="Arial" w:hAnsi="Arial" w:cs="Arial"/>
              </w:rPr>
              <w:t>Date</w:t>
            </w:r>
          </w:p>
        </w:tc>
        <w:tc>
          <w:tcPr>
            <w:tcW w:w="6481" w:type="dxa"/>
          </w:tcPr>
          <w:p w:rsidR="006740B0" w:rsidRPr="002A1E65" w:rsidRDefault="005654A3">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A1E65">
              <w:rPr>
                <w:rFonts w:ascii="Arial" w:hAnsi="Arial" w:cs="Arial"/>
              </w:rPr>
              <w:t>Topic</w:t>
            </w:r>
          </w:p>
        </w:tc>
        <w:tc>
          <w:tcPr>
            <w:tcW w:w="4139" w:type="dxa"/>
          </w:tcPr>
          <w:p w:rsidR="006740B0" w:rsidRPr="002A1E65" w:rsidRDefault="006740B0">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242899">
        <w:tc>
          <w:tcPr>
            <w:cnfStyle w:val="001000000000" w:firstRow="0" w:lastRow="0" w:firstColumn="1" w:lastColumn="0" w:oddVBand="0" w:evenVBand="0" w:oddHBand="0" w:evenHBand="0" w:firstRowFirstColumn="0" w:firstRowLastColumn="0" w:lastRowFirstColumn="0" w:lastRowLastColumn="0"/>
            <w:tcW w:w="1800" w:type="dxa"/>
          </w:tcPr>
          <w:p w:rsidR="006740B0" w:rsidRPr="002A1E65" w:rsidRDefault="0082346E">
            <w:pPr>
              <w:spacing w:line="276" w:lineRule="auto"/>
              <w:rPr>
                <w:rFonts w:ascii="Arial" w:hAnsi="Arial" w:cs="Arial"/>
              </w:rPr>
            </w:pPr>
            <w:r>
              <w:rPr>
                <w:rFonts w:ascii="Arial" w:hAnsi="Arial" w:cs="Arial"/>
              </w:rPr>
              <w:t>5/12/15</w:t>
            </w:r>
          </w:p>
        </w:tc>
        <w:tc>
          <w:tcPr>
            <w:tcW w:w="6481" w:type="dxa"/>
          </w:tcPr>
          <w:p w:rsidR="006740B0" w:rsidRPr="002A1E65" w:rsidRDefault="0082346E" w:rsidP="0082346E">
            <w:pPr>
              <w:spacing w:line="276" w:lineRule="auto"/>
              <w:ind w:right="-2249"/>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Introduction to GBS: overview of applications and lab methods</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242899">
        <w:tc>
          <w:tcPr>
            <w:cnfStyle w:val="001000000000" w:firstRow="0" w:lastRow="0" w:firstColumn="1" w:lastColumn="0" w:oddVBand="0" w:evenVBand="0" w:oddHBand="0" w:evenHBand="0" w:firstRowFirstColumn="0" w:firstRowLastColumn="0" w:lastRowFirstColumn="0" w:lastRowLastColumn="0"/>
            <w:tcW w:w="1800" w:type="dxa"/>
          </w:tcPr>
          <w:p w:rsidR="006740B0" w:rsidRPr="002A1E65" w:rsidRDefault="0082346E">
            <w:pPr>
              <w:spacing w:line="276" w:lineRule="auto"/>
              <w:rPr>
                <w:rFonts w:ascii="Arial" w:hAnsi="Arial" w:cs="Arial"/>
              </w:rPr>
            </w:pPr>
            <w:r>
              <w:rPr>
                <w:rFonts w:ascii="Arial" w:hAnsi="Arial" w:cs="Arial"/>
              </w:rPr>
              <w:t>5/14/15</w:t>
            </w:r>
          </w:p>
        </w:tc>
        <w:tc>
          <w:tcPr>
            <w:tcW w:w="6481" w:type="dxa"/>
          </w:tcPr>
          <w:p w:rsidR="006740B0" w:rsidRPr="002A1E65" w:rsidRDefault="00E6017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 processing with TASSEL</w:t>
            </w:r>
            <w:r w:rsidR="00242899">
              <w:rPr>
                <w:rFonts w:ascii="Arial" w:hAnsi="Arial" w:cs="Arial"/>
              </w:rPr>
              <w:t xml:space="preserve"> pipeline</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242899">
        <w:tc>
          <w:tcPr>
            <w:cnfStyle w:val="001000000000" w:firstRow="0" w:lastRow="0" w:firstColumn="1" w:lastColumn="0" w:oddVBand="0" w:evenVBand="0" w:oddHBand="0" w:evenHBand="0" w:firstRowFirstColumn="0" w:firstRowLastColumn="0" w:lastRowFirstColumn="0" w:lastRowLastColumn="0"/>
            <w:tcW w:w="1800" w:type="dxa"/>
          </w:tcPr>
          <w:p w:rsidR="006740B0" w:rsidRPr="002A1E65" w:rsidRDefault="0082346E">
            <w:pPr>
              <w:spacing w:line="276" w:lineRule="auto"/>
              <w:rPr>
                <w:rFonts w:ascii="Arial" w:hAnsi="Arial" w:cs="Arial"/>
              </w:rPr>
            </w:pPr>
            <w:r>
              <w:rPr>
                <w:rFonts w:ascii="Arial" w:hAnsi="Arial" w:cs="Arial"/>
              </w:rPr>
              <w:t>5/19/15</w:t>
            </w:r>
          </w:p>
        </w:tc>
        <w:tc>
          <w:tcPr>
            <w:tcW w:w="6481" w:type="dxa"/>
          </w:tcPr>
          <w:p w:rsidR="006740B0" w:rsidRPr="002A1E65" w:rsidRDefault="002428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Working with the TASSEL GUI</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242899">
        <w:tc>
          <w:tcPr>
            <w:cnfStyle w:val="001000000000" w:firstRow="0" w:lastRow="0" w:firstColumn="1" w:lastColumn="0" w:oddVBand="0" w:evenVBand="0" w:oddHBand="0" w:evenHBand="0" w:firstRowFirstColumn="0" w:firstRowLastColumn="0" w:lastRowFirstColumn="0" w:lastRowLastColumn="0"/>
            <w:tcW w:w="1800" w:type="dxa"/>
          </w:tcPr>
          <w:p w:rsidR="006740B0" w:rsidRPr="002A1E65" w:rsidRDefault="0082346E">
            <w:pPr>
              <w:spacing w:line="276" w:lineRule="auto"/>
              <w:rPr>
                <w:rFonts w:ascii="Arial" w:hAnsi="Arial" w:cs="Arial"/>
              </w:rPr>
            </w:pPr>
            <w:r>
              <w:rPr>
                <w:rFonts w:ascii="Arial" w:hAnsi="Arial" w:cs="Arial"/>
              </w:rPr>
              <w:t>5/21/15</w:t>
            </w:r>
          </w:p>
        </w:tc>
        <w:tc>
          <w:tcPr>
            <w:tcW w:w="6481" w:type="dxa"/>
          </w:tcPr>
          <w:p w:rsidR="006740B0" w:rsidRPr="002A1E65" w:rsidRDefault="002428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 processing with</w:t>
            </w:r>
            <w:r w:rsidR="00B55A84">
              <w:rPr>
                <w:rFonts w:ascii="Arial" w:hAnsi="Arial" w:cs="Arial"/>
              </w:rPr>
              <w:t xml:space="preserve"> the</w:t>
            </w:r>
            <w:r>
              <w:rPr>
                <w:rFonts w:ascii="Arial" w:hAnsi="Arial" w:cs="Arial"/>
              </w:rPr>
              <w:t xml:space="preserve"> Stacks pipeline</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242899">
        <w:tc>
          <w:tcPr>
            <w:cnfStyle w:val="001000000000" w:firstRow="0" w:lastRow="0" w:firstColumn="1" w:lastColumn="0" w:oddVBand="0" w:evenVBand="0" w:oddHBand="0" w:evenHBand="0" w:firstRowFirstColumn="0" w:firstRowLastColumn="0" w:lastRowFirstColumn="0" w:lastRowLastColumn="0"/>
            <w:tcW w:w="1800" w:type="dxa"/>
          </w:tcPr>
          <w:p w:rsidR="006740B0" w:rsidRPr="002A1E65" w:rsidRDefault="0082346E">
            <w:pPr>
              <w:spacing w:line="276" w:lineRule="auto"/>
              <w:rPr>
                <w:rFonts w:ascii="Arial" w:hAnsi="Arial" w:cs="Arial"/>
              </w:rPr>
            </w:pPr>
            <w:r>
              <w:rPr>
                <w:rFonts w:ascii="Arial" w:hAnsi="Arial" w:cs="Arial"/>
              </w:rPr>
              <w:t>5/26/15</w:t>
            </w:r>
          </w:p>
        </w:tc>
        <w:tc>
          <w:tcPr>
            <w:tcW w:w="6481" w:type="dxa"/>
          </w:tcPr>
          <w:p w:rsidR="006740B0" w:rsidRPr="002A1E65" w:rsidRDefault="00E6017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Genome-wide association analyses (GWAS) </w:t>
            </w:r>
            <w:r w:rsidR="0090086E">
              <w:rPr>
                <w:rFonts w:ascii="Arial" w:hAnsi="Arial" w:cs="Arial"/>
              </w:rPr>
              <w:t>Yuan Jiang, OSU Department of Statistics</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40B0" w:rsidRPr="002A1E65" w:rsidTr="00242899">
        <w:tc>
          <w:tcPr>
            <w:cnfStyle w:val="001000000000" w:firstRow="0" w:lastRow="0" w:firstColumn="1" w:lastColumn="0" w:oddVBand="0" w:evenVBand="0" w:oddHBand="0" w:evenHBand="0" w:firstRowFirstColumn="0" w:firstRowLastColumn="0" w:lastRowFirstColumn="0" w:lastRowLastColumn="0"/>
            <w:tcW w:w="1800" w:type="dxa"/>
          </w:tcPr>
          <w:p w:rsidR="006740B0" w:rsidRPr="002A1E65" w:rsidRDefault="0082346E">
            <w:pPr>
              <w:spacing w:line="276" w:lineRule="auto"/>
              <w:rPr>
                <w:rFonts w:ascii="Arial" w:hAnsi="Arial" w:cs="Arial"/>
              </w:rPr>
            </w:pPr>
            <w:r>
              <w:rPr>
                <w:rFonts w:ascii="Arial" w:hAnsi="Arial" w:cs="Arial"/>
              </w:rPr>
              <w:t>5/28/15</w:t>
            </w:r>
          </w:p>
        </w:tc>
        <w:tc>
          <w:tcPr>
            <w:tcW w:w="6481" w:type="dxa"/>
          </w:tcPr>
          <w:p w:rsidR="006740B0" w:rsidRPr="002A1E65" w:rsidRDefault="00027EBD">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More GBS</w:t>
            </w:r>
            <w:r w:rsidR="00242899">
              <w:rPr>
                <w:rFonts w:ascii="Arial" w:hAnsi="Arial" w:cs="Arial"/>
              </w:rPr>
              <w:t xml:space="preserve"> data processing pipelines</w:t>
            </w:r>
          </w:p>
        </w:tc>
        <w:tc>
          <w:tcPr>
            <w:tcW w:w="4139" w:type="dxa"/>
          </w:tcPr>
          <w:p w:rsidR="006740B0" w:rsidRPr="002A1E65" w:rsidRDefault="006740B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6740B0" w:rsidRDefault="006740B0" w:rsidP="00517D4A">
      <w:pPr>
        <w:pStyle w:val="Heading3"/>
        <w:rPr>
          <w:rFonts w:ascii="Arial" w:hAnsi="Arial" w:cs="Arial"/>
        </w:rPr>
      </w:pPr>
    </w:p>
    <w:p w:rsidR="0090086E" w:rsidRDefault="0090086E" w:rsidP="0090086E"/>
    <w:p w:rsidR="0090086E" w:rsidRPr="0090086E" w:rsidRDefault="0090086E" w:rsidP="0090086E"/>
    <w:p w:rsidR="00B55A84" w:rsidRDefault="00B55A84" w:rsidP="0090086E">
      <w:pPr>
        <w:rPr>
          <w:rStyle w:val="Heading3Char"/>
          <w:rFonts w:ascii="Arial" w:hAnsi="Arial" w:cs="Arial"/>
        </w:rPr>
      </w:pPr>
    </w:p>
    <w:p w:rsidR="00B55A84" w:rsidRDefault="00B55A84" w:rsidP="0090086E">
      <w:pPr>
        <w:rPr>
          <w:rFonts w:ascii="Arial" w:hAnsi="Arial" w:cs="Arial"/>
        </w:rPr>
      </w:pPr>
      <w:r>
        <w:rPr>
          <w:rStyle w:val="Heading3Char"/>
          <w:rFonts w:ascii="Arial" w:hAnsi="Arial" w:cs="Arial"/>
        </w:rPr>
        <w:lastRenderedPageBreak/>
        <w:t>Access to course documents</w:t>
      </w:r>
      <w:r w:rsidRPr="0090086E">
        <w:rPr>
          <w:rStyle w:val="Heading3Char"/>
          <w:rFonts w:ascii="Arial" w:hAnsi="Arial" w:cs="Arial"/>
        </w:rPr>
        <w:br/>
      </w:r>
      <w:r>
        <w:rPr>
          <w:rFonts w:ascii="Arial" w:hAnsi="Arial" w:cs="Arial"/>
        </w:rPr>
        <w:t>Research article pdfs, Powerpoint presentations, tutorials, and other course-related documents will be posted in a Google Drive space. Example data and scripts will be available in a designated space on the CGRB biocomputing infrastructure (specific location to be announced in class).</w:t>
      </w:r>
    </w:p>
    <w:p w:rsidR="00B55A84" w:rsidRDefault="006B10F7" w:rsidP="0090086E">
      <w:pPr>
        <w:rPr>
          <w:rStyle w:val="Heading3Char"/>
          <w:rFonts w:ascii="Arial" w:hAnsi="Arial" w:cs="Arial"/>
        </w:rPr>
      </w:pPr>
      <w:r>
        <w:rPr>
          <w:rStyle w:val="Heading3Char"/>
          <w:rFonts w:ascii="Arial" w:hAnsi="Arial" w:cs="Arial"/>
        </w:rPr>
        <w:t>Attendance policy</w:t>
      </w:r>
      <w:r w:rsidR="00B55A84" w:rsidRPr="0090086E">
        <w:rPr>
          <w:rStyle w:val="Heading3Char"/>
          <w:rFonts w:ascii="Arial" w:hAnsi="Arial" w:cs="Arial"/>
        </w:rPr>
        <w:br/>
      </w:r>
      <w:r>
        <w:rPr>
          <w:rFonts w:ascii="Arial" w:hAnsi="Arial" w:cs="Arial"/>
        </w:rPr>
        <w:t>Attendance is mandatory for students taking the course for credit. A sign-in sheet will be provided at each class session. Students must sign in at each class session to receive course credit.</w:t>
      </w:r>
      <w:bookmarkStart w:id="0" w:name="_GoBack"/>
      <w:bookmarkEnd w:id="0"/>
      <w:r>
        <w:rPr>
          <w:rFonts w:ascii="Arial" w:hAnsi="Arial" w:cs="Arial"/>
        </w:rPr>
        <w:t xml:space="preserve"> </w:t>
      </w:r>
    </w:p>
    <w:p w:rsidR="0090086E" w:rsidRPr="0090086E" w:rsidRDefault="0090086E" w:rsidP="0090086E">
      <w:pPr>
        <w:rPr>
          <w:rFonts w:ascii="Arial" w:hAnsi="Arial" w:cs="Arial"/>
        </w:rPr>
      </w:pPr>
      <w:r w:rsidRPr="0090086E">
        <w:rPr>
          <w:rStyle w:val="Heading3Char"/>
          <w:rFonts w:ascii="Arial" w:hAnsi="Arial" w:cs="Arial"/>
        </w:rPr>
        <w:t>Statement Regarding Students With Disabilities:</w:t>
      </w:r>
      <w:r w:rsidRPr="0090086E">
        <w:rPr>
          <w:rStyle w:val="Heading3Char"/>
          <w:rFonts w:ascii="Arial" w:hAnsi="Arial" w:cs="Arial"/>
        </w:rPr>
        <w:br/>
      </w:r>
      <w:r w:rsidRPr="0090086E">
        <w:rPr>
          <w:rFonts w:ascii="Arial" w:hAnsi="Arial" w:cs="Arial"/>
        </w:rPr>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737-4098. DAS website: </w:t>
      </w:r>
      <w:hyperlink r:id="rId7" w:history="1">
        <w:r w:rsidRPr="0090086E">
          <w:rPr>
            <w:rStyle w:val="Hyperlink"/>
            <w:rFonts w:ascii="Arial" w:hAnsi="Arial" w:cs="Arial"/>
          </w:rPr>
          <w:t>http://ds.oregonstate.edu</w:t>
        </w:r>
      </w:hyperlink>
      <w:r w:rsidRPr="0090086E">
        <w:rPr>
          <w:rFonts w:ascii="Arial" w:hAnsi="Arial" w:cs="Arial"/>
        </w:rPr>
        <w:t xml:space="preserve"> </w:t>
      </w:r>
      <w:r w:rsidRPr="0090086E">
        <w:rPr>
          <w:rFonts w:ascii="Arial" w:hAnsi="Arial" w:cs="Arial"/>
        </w:rPr>
        <w:br/>
      </w:r>
      <w:r w:rsidRPr="0090086E">
        <w:rPr>
          <w:rFonts w:ascii="Arial" w:hAnsi="Arial" w:cs="Arial"/>
        </w:rPr>
        <w:br/>
      </w:r>
    </w:p>
    <w:sectPr w:rsidR="0090086E" w:rsidRPr="0090086E">
      <w:footerReference w:type="default" r:id="rId8"/>
      <w:pgSz w:w="12240" w:h="15840"/>
      <w:pgMar w:top="1080" w:right="720" w:bottom="108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941" w:rsidRDefault="00454941">
      <w:pPr>
        <w:spacing w:before="0" w:after="0" w:line="240" w:lineRule="auto"/>
      </w:pPr>
      <w:r>
        <w:separator/>
      </w:r>
    </w:p>
  </w:endnote>
  <w:endnote w:type="continuationSeparator" w:id="0">
    <w:p w:rsidR="00454941" w:rsidRDefault="004549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0" w:rsidRDefault="005654A3">
    <w:pPr>
      <w:pStyle w:val="Footer"/>
    </w:pPr>
    <w:r>
      <w:t xml:space="preserve">Page </w:t>
    </w:r>
    <w:r>
      <w:fldChar w:fldCharType="begin"/>
    </w:r>
    <w:r>
      <w:instrText xml:space="preserve"> PAGE   \* MERGEFORMAT </w:instrText>
    </w:r>
    <w:r>
      <w:fldChar w:fldCharType="separate"/>
    </w:r>
    <w:r w:rsidR="006B10F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941" w:rsidRDefault="00454941">
      <w:pPr>
        <w:spacing w:before="0" w:after="0" w:line="240" w:lineRule="auto"/>
      </w:pPr>
      <w:r>
        <w:separator/>
      </w:r>
    </w:p>
  </w:footnote>
  <w:footnote w:type="continuationSeparator" w:id="0">
    <w:p w:rsidR="00454941" w:rsidRDefault="0045494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E65"/>
    <w:rsid w:val="00015C57"/>
    <w:rsid w:val="00027EBD"/>
    <w:rsid w:val="00216122"/>
    <w:rsid w:val="00242899"/>
    <w:rsid w:val="002A1E65"/>
    <w:rsid w:val="00454941"/>
    <w:rsid w:val="00517D4A"/>
    <w:rsid w:val="005654A3"/>
    <w:rsid w:val="00645BAE"/>
    <w:rsid w:val="006740B0"/>
    <w:rsid w:val="006B10F7"/>
    <w:rsid w:val="0082346E"/>
    <w:rsid w:val="0083337B"/>
    <w:rsid w:val="0090086E"/>
    <w:rsid w:val="00997E2B"/>
    <w:rsid w:val="00B55A84"/>
    <w:rsid w:val="00CE7BCA"/>
    <w:rsid w:val="00D71347"/>
    <w:rsid w:val="00E60171"/>
    <w:rsid w:val="00F7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pPr>
    <w:rPr>
      <w:sz w:val="18"/>
      <w:szCs w:val="18"/>
    </w:rPr>
  </w:style>
  <w:style w:type="paragraph" w:styleId="Heading1">
    <w:name w:val="heading 1"/>
    <w:basedOn w:val="Normal"/>
    <w:next w:val="Normal"/>
    <w:link w:val="Heading1Char"/>
    <w:uiPriority w:val="1"/>
    <w:qFormat/>
    <w:pPr>
      <w:keepNext/>
      <w:keepLines/>
      <w:spacing w:before="0" w:after="400" w:line="312" w:lineRule="auto"/>
      <w:jc w:val="center"/>
      <w:outlineLvl w:val="0"/>
    </w:pPr>
    <w:rPr>
      <w:rFonts w:asciiTheme="majorHAnsi" w:eastAsiaTheme="majorEastAsia" w:hAnsiTheme="majorHAnsi" w:cstheme="majorBidi"/>
      <w:b/>
      <w:bCs/>
      <w:color w:val="2E74B5" w:themeColor="accent1" w:themeShade="BF"/>
      <w:sz w:val="30"/>
      <w:szCs w:val="30"/>
    </w:rPr>
  </w:style>
  <w:style w:type="paragraph" w:styleId="Heading2">
    <w:name w:val="heading 2"/>
    <w:basedOn w:val="Normal"/>
    <w:next w:val="Normal"/>
    <w:link w:val="Heading2Char"/>
    <w:uiPriority w:val="1"/>
    <w:qFormat/>
    <w:pPr>
      <w:keepNext/>
      <w:keepLines/>
      <w:outlineLvl w:val="1"/>
    </w:pPr>
    <w:rPr>
      <w:rFonts w:asciiTheme="majorHAnsi" w:eastAsiaTheme="majorEastAsia" w:hAnsiTheme="majorHAnsi" w:cstheme="majorBidi"/>
      <w:b/>
      <w:bCs/>
      <w:color w:val="2E74B5" w:themeColor="accent1" w:themeShade="BF"/>
    </w:rPr>
  </w:style>
  <w:style w:type="paragraph" w:styleId="Heading3">
    <w:name w:val="heading 3"/>
    <w:basedOn w:val="Normal"/>
    <w:next w:val="Normal"/>
    <w:link w:val="Heading3Char"/>
    <w:uiPriority w:val="1"/>
    <w:qFormat/>
    <w:pPr>
      <w:keepNext/>
      <w:keepLines/>
      <w:spacing w:before="240" w:after="60"/>
      <w:outlineLvl w:val="2"/>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E74B5" w:themeColor="accent1" w:themeShade="BF"/>
      <w:sz w:val="30"/>
      <w:szCs w:val="3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2E74B5" w:themeColor="accent1" w:themeShade="BF"/>
      <w:sz w:val="18"/>
      <w:szCs w:val="18"/>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18"/>
      <w:szCs w:val="18"/>
    </w:rPr>
  </w:style>
  <w:style w:type="table" w:styleId="ListTable6Colorful-Accent1">
    <w:name w:val="List Table 6 Colorful Accent 1"/>
    <w:basedOn w:val="TableNormal"/>
    <w:uiPriority w:val="51"/>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2"/>
    <w:pPr>
      <w:tabs>
        <w:tab w:val="center" w:pos="4680"/>
        <w:tab w:val="right" w:pos="9360"/>
      </w:tabs>
      <w:spacing w:before="0" w:after="0" w:line="240" w:lineRule="auto"/>
      <w:jc w:val="center"/>
    </w:pPr>
    <w:rPr>
      <w:color w:val="2E74B5" w:themeColor="accent1" w:themeShade="BF"/>
      <w:spacing w:val="60"/>
    </w:rPr>
  </w:style>
  <w:style w:type="character" w:customStyle="1" w:styleId="FooterChar">
    <w:name w:val="Footer Char"/>
    <w:basedOn w:val="DefaultParagraphFont"/>
    <w:link w:val="Footer"/>
    <w:uiPriority w:val="2"/>
    <w:rPr>
      <w:color w:val="2E74B5" w:themeColor="accent1" w:themeShade="BF"/>
      <w:spacing w:val="60"/>
      <w:sz w:val="18"/>
      <w:szCs w:val="18"/>
    </w:rPr>
  </w:style>
  <w:style w:type="table" w:styleId="GridTable1Light-Accent1">
    <w:name w:val="Grid Table 1 Light Accent 1"/>
    <w:basedOn w:val="TableNormal"/>
    <w:uiPriority w:val="46"/>
    <w:pPr>
      <w:spacing w:after="0" w:line="240" w:lineRule="auto"/>
    </w:pPr>
    <w:tblPr>
      <w:tblStyleRowBandSize w:val="1"/>
      <w:tblStyleColBandSize w:val="1"/>
      <w:tblBorders>
        <w:bottom w:val="single" w:sz="4" w:space="0" w:color="BDD6EE" w:themeColor="accent1" w:themeTint="66"/>
        <w:insideH w:val="single" w:sz="4" w:space="0" w:color="BDD6EE" w:themeColor="accent1" w:themeTint="66"/>
      </w:tblBorders>
    </w:tblPr>
    <w:tblStylePr w:type="firstRow">
      <w:rPr>
        <w:b/>
        <w:bCs/>
        <w:color w:val="2E74B5" w:themeColor="accent1" w:themeShade="BF"/>
      </w:rPr>
      <w:tblPr/>
      <w:tcPr>
        <w:tcBorders>
          <w:bottom w:val="single" w:sz="12" w:space="0" w:color="2E74B5" w:themeColor="accent1" w:themeShade="BF"/>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9008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s.oregonstate.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ingk\AppData\Roaming\Microsoft\Templates\Course%20syllabus%20(2%20pages).dotx" TargetMode="External"/></Relationships>
</file>

<file path=word/theme/theme1.xml><?xml version="1.0" encoding="utf-8"?>
<a:theme xmlns:a="http://schemas.openxmlformats.org/drawingml/2006/main" name="Syllab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9E58E19-028F-4089-BA52-875B40CF99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 syllabus (2 pages)</Template>
  <TotalTime>0</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2015-05-04T21:33:00Z</dcterms:created>
  <dcterms:modified xsi:type="dcterms:W3CDTF">2015-05-12T01:26:00Z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TC039920789991</vt:lpwstr>
  </property>
</Properties>
</file>