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A01D" w14:textId="68426131" w:rsidR="00FD3C70" w:rsidRPr="00BA401A" w:rsidRDefault="00FD3C70" w:rsidP="00FD3C7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US"/>
        </w:rPr>
      </w:pPr>
      <w:r>
        <w:rPr>
          <w:rStyle w:val="normaltextrun"/>
          <w:rFonts w:ascii="Aptos Display" w:hAnsi="Aptos Display" w:cs="Segoe UI"/>
          <w:sz w:val="56"/>
          <w:szCs w:val="56"/>
          <w:lang w:val="es-US"/>
        </w:rPr>
        <w:t>Documento de diseño</w:t>
      </w:r>
    </w:p>
    <w:p w14:paraId="464B4EDA" w14:textId="77777777" w:rsidR="00FD3C70" w:rsidRPr="00BA401A" w:rsidRDefault="00FD3C70" w:rsidP="00FD3C7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US"/>
        </w:rPr>
      </w:pPr>
      <w:r w:rsidRPr="00BA401A">
        <w:rPr>
          <w:rStyle w:val="normaltextrun"/>
          <w:lang w:val="es-US"/>
        </w:rPr>
        <w:t>Universidad del Valle de Guatemala</w:t>
      </w:r>
    </w:p>
    <w:p w14:paraId="521CE4A0" w14:textId="77777777" w:rsidR="00FD3C70" w:rsidRPr="00BA401A" w:rsidRDefault="00FD3C70" w:rsidP="00FD3C7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US"/>
        </w:rPr>
      </w:pPr>
      <w:r w:rsidRPr="00BA401A">
        <w:rPr>
          <w:rStyle w:val="normaltextrun"/>
          <w:lang w:val="es-US"/>
        </w:rPr>
        <w:t>Ciencia de Datos, sección 10</w:t>
      </w:r>
    </w:p>
    <w:p w14:paraId="397BA963" w14:textId="77777777" w:rsidR="00FD3C70" w:rsidRPr="00BA401A" w:rsidRDefault="00FD3C70" w:rsidP="00FD3C70">
      <w:pPr>
        <w:jc w:val="center"/>
        <w:rPr>
          <w:rStyle w:val="normaltextrun"/>
          <w:lang w:val="es-US"/>
        </w:rPr>
      </w:pPr>
      <w:r w:rsidRPr="00BA401A">
        <w:rPr>
          <w:rStyle w:val="normaltextrun"/>
          <w:lang w:val="es-US"/>
        </w:rPr>
        <w:t>Castellanos, I; Pérez, M. y Rodríguez, R.</w:t>
      </w:r>
    </w:p>
    <w:p w14:paraId="77363A54" w14:textId="77777777" w:rsidR="00AF742C" w:rsidRDefault="00AF742C">
      <w:pPr>
        <w:rPr>
          <w:lang w:val="es-US"/>
        </w:rPr>
      </w:pPr>
    </w:p>
    <w:p w14:paraId="1CFBD4F6" w14:textId="5B8F15D8" w:rsidR="00FD3C70" w:rsidRDefault="00FD3C70" w:rsidP="006500D3">
      <w:pPr>
        <w:pStyle w:val="Ttulo2"/>
        <w:rPr>
          <w:lang w:val="es-US"/>
        </w:rPr>
      </w:pPr>
      <w:r>
        <w:rPr>
          <w:lang w:val="es-US"/>
        </w:rPr>
        <w:t>Selección de paleta de colores</w:t>
      </w:r>
    </w:p>
    <w:p w14:paraId="15FDDCB4" w14:textId="77777777" w:rsidR="006500D3" w:rsidRPr="006500D3" w:rsidRDefault="006500D3" w:rsidP="006500D3">
      <w:r w:rsidRPr="006500D3">
        <w:t>La paleta se limitará a tres colores temáticos y un acento: </w:t>
      </w:r>
    </w:p>
    <w:p w14:paraId="47089BCA" w14:textId="74C82E31" w:rsidR="006500D3" w:rsidRPr="006500D3" w:rsidRDefault="006500D3" w:rsidP="006500D3">
      <w:pPr>
        <w:pStyle w:val="Prrafodelista"/>
        <w:numPr>
          <w:ilvl w:val="0"/>
          <w:numId w:val="9"/>
        </w:numPr>
      </w:pPr>
      <w:r w:rsidRPr="006500D3">
        <w:t>Azul petróleo oscuro, #123B4A: títulos, texto destacado y serie histórica. Comunica estabilidad, confianza e institucionalidad; además, ofrece alto contraste sobre fondo claro. </w:t>
      </w:r>
    </w:p>
    <w:p w14:paraId="304D6947" w14:textId="02AA4DA1" w:rsidR="006500D3" w:rsidRPr="006500D3" w:rsidRDefault="006500D3" w:rsidP="006500D3">
      <w:pPr>
        <w:pStyle w:val="Prrafodelista"/>
        <w:numPr>
          <w:ilvl w:val="0"/>
          <w:numId w:val="9"/>
        </w:numPr>
      </w:pPr>
      <w:r w:rsidRPr="006500D3">
        <w:t>Turquesa, #19A7A0: datos de comparación, separadores y elementos secundarios. Es análogo al azul petróleo, por lo que produce armonía visual y continuidad con una identidad asociada con Guatemala y la comunicación institucional. </w:t>
      </w:r>
    </w:p>
    <w:p w14:paraId="24CC9AEB" w14:textId="36625B29" w:rsidR="006500D3" w:rsidRPr="006500D3" w:rsidRDefault="006500D3" w:rsidP="006500D3">
      <w:pPr>
        <w:pStyle w:val="Prrafodelista"/>
        <w:numPr>
          <w:ilvl w:val="0"/>
          <w:numId w:val="9"/>
        </w:numPr>
      </w:pPr>
      <w:r w:rsidRPr="006500D3">
        <w:t>Gris cálido claro, #F2F0EB: fondo y áreas de descanso. Mantiene una apariencia sobria, reduce fatiga visual y permite que los datos sean protagonistas. </w:t>
      </w:r>
    </w:p>
    <w:p w14:paraId="585FDFD8" w14:textId="78CF8F98" w:rsidR="006500D3" w:rsidRPr="006500D3" w:rsidRDefault="006500D3" w:rsidP="006500D3">
      <w:pPr>
        <w:pStyle w:val="Prrafodelista"/>
        <w:numPr>
          <w:ilvl w:val="0"/>
          <w:numId w:val="9"/>
        </w:numPr>
      </w:pPr>
      <w:r w:rsidRPr="006500D3">
        <w:t>Coral, #E45B4F: acento para pandemia, mínimos, alertas y la estimación seleccionada. Al ser cálido y complementario frente a la gama azul-verde, crea contraste inmediato y dirige la atención hacia anomalías o decisiones clave. </w:t>
      </w:r>
    </w:p>
    <w:p w14:paraId="711B3D54" w14:textId="77777777" w:rsidR="006500D3" w:rsidRPr="006500D3" w:rsidRDefault="006500D3" w:rsidP="006500D3">
      <w:pPr>
        <w:jc w:val="both"/>
      </w:pPr>
      <w:r w:rsidRPr="006500D3">
        <w:t>La relación análoga entre azul y turquesa crea cohesión, mientras el coral funciona como contraste complementario controlado. El acento no se usará de manera decorativa: quedará reservado para advertencias y elementos que requieren acción. No se usará una escala arcoíris porque las categorías no necesitan muchos colores y porque dificultaría establecer jerarquía.</w:t>
      </w:r>
    </w:p>
    <w:p w14:paraId="064DE70F" w14:textId="77777777" w:rsidR="006500D3" w:rsidRDefault="006500D3">
      <w:pPr>
        <w:rPr>
          <w:lang w:val="es-US"/>
        </w:rPr>
      </w:pPr>
    </w:p>
    <w:p w14:paraId="48A03F7F" w14:textId="1DCCE101" w:rsidR="00FD3C70" w:rsidRDefault="00FD3C70" w:rsidP="009E71FE">
      <w:pPr>
        <w:pStyle w:val="Ttulo2"/>
        <w:rPr>
          <w:lang w:val="es-US"/>
        </w:rPr>
      </w:pPr>
      <w:r>
        <w:rPr>
          <w:lang w:val="es-US"/>
        </w:rPr>
        <w:t>Bosquejo de la interfaz y navegación</w:t>
      </w:r>
    </w:p>
    <w:p w14:paraId="615EA781" w14:textId="77777777" w:rsidR="009E71FE" w:rsidRDefault="009E71FE" w:rsidP="009E71FE">
      <w:pPr>
        <w:rPr>
          <w:lang w:val="es-US"/>
        </w:rPr>
      </w:pPr>
    </w:p>
    <w:p w14:paraId="2C50E8A8" w14:textId="0438DBEB" w:rsidR="009E71FE" w:rsidRPr="009E71FE" w:rsidRDefault="009E71FE" w:rsidP="009E71FE">
      <w:pPr>
        <w:rPr>
          <w:lang w:val="es-US"/>
        </w:rPr>
      </w:pPr>
      <w:r w:rsidRPr="009E71FE">
        <w:rPr>
          <w:b/>
          <w:bCs/>
        </w:rPr>
        <w:t xml:space="preserve">Figura 1. </w:t>
      </w:r>
      <w:r w:rsidRPr="009E71FE">
        <w:t xml:space="preserve">Bosquejo de la interfaz del </w:t>
      </w:r>
      <w:proofErr w:type="spellStart"/>
      <w:r w:rsidRPr="009E71FE">
        <w:t>dashboard</w:t>
      </w:r>
      <w:proofErr w:type="spellEnd"/>
      <w:r w:rsidRPr="009E71FE">
        <w:t xml:space="preserve"> propuesto.</w:t>
      </w:r>
    </w:p>
    <w:p w14:paraId="5A014EB9" w14:textId="22D6AD49" w:rsidR="009E71FE" w:rsidRPr="009E71FE" w:rsidRDefault="009E71FE" w:rsidP="009E71FE">
      <w:pPr>
        <w:rPr>
          <w:lang w:val="es-US"/>
        </w:rPr>
      </w:pPr>
      <w:r>
        <w:rPr>
          <w:noProof/>
        </w:rPr>
        <w:lastRenderedPageBreak/>
        <w:drawing>
          <wp:inline distT="0" distB="0" distL="0" distR="0" wp14:anchorId="33C2A236" wp14:editId="3B14AA51">
            <wp:extent cx="4671060" cy="3657600"/>
            <wp:effectExtent l="0" t="0" r="0" b="0"/>
            <wp:docPr id="1587669349" name="Imagen 1" descr="Bosquejo corregido del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squejo corregido del dashboar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4A77" w14:textId="446A42B9" w:rsidR="00B85795" w:rsidRDefault="00B85795" w:rsidP="00224156">
      <w:pPr>
        <w:jc w:val="both"/>
        <w:rPr>
          <w:lang w:val="es-US"/>
        </w:rPr>
      </w:pPr>
      <w:r>
        <w:rPr>
          <w:lang w:val="es-US"/>
        </w:rPr>
        <w:t xml:space="preserve">Se observa en la </w:t>
      </w:r>
      <w:r w:rsidRPr="00B85795">
        <w:rPr>
          <w:b/>
          <w:bCs/>
          <w:lang w:val="es-US"/>
        </w:rPr>
        <w:t>Figura 1</w:t>
      </w:r>
      <w:r>
        <w:rPr>
          <w:lang w:val="es-US"/>
        </w:rPr>
        <w:t xml:space="preserve"> que se busca que el </w:t>
      </w:r>
      <w:proofErr w:type="spellStart"/>
      <w:r w:rsidRPr="00224156">
        <w:rPr>
          <w:i/>
          <w:iCs/>
          <w:lang w:val="es-US"/>
        </w:rPr>
        <w:t>dashboard</w:t>
      </w:r>
      <w:proofErr w:type="spellEnd"/>
      <w:r>
        <w:rPr>
          <w:lang w:val="es-US"/>
        </w:rPr>
        <w:t xml:space="preserve"> no esté sobrecargado de gráficos, y por esa razón se incluyen índices numéricos en la parte superior. Asimismo, los gráficos presentes son </w:t>
      </w:r>
      <w:r w:rsidR="00224156">
        <w:rPr>
          <w:lang w:val="es-US"/>
        </w:rPr>
        <w:t xml:space="preserve">gráficos de estilo clásico de barras y líneas -apropiado para las series de tiempo- con un único gráfico de sectores para presentar las proporciones de vías de ingreso de los viajantes registrados. </w:t>
      </w:r>
    </w:p>
    <w:p w14:paraId="668979BF" w14:textId="6A1FB642" w:rsidR="00224156" w:rsidRDefault="00224156" w:rsidP="00224156">
      <w:pPr>
        <w:jc w:val="both"/>
        <w:rPr>
          <w:lang w:val="es-US"/>
        </w:rPr>
      </w:pPr>
      <w:r>
        <w:rPr>
          <w:lang w:val="es-US"/>
        </w:rPr>
        <w:t xml:space="preserve">Se presenta una única imagen en la parte superior, con colores análogos a los de los gráficos para que no resalte más que los gráficos a los que hay que prestar atención. De hecho, la imagen no presenta tantos detalles y puede elegirse no ponerse en el </w:t>
      </w:r>
      <w:proofErr w:type="spellStart"/>
      <w:r w:rsidRPr="00224156">
        <w:rPr>
          <w:i/>
          <w:iCs/>
          <w:lang w:val="es-US"/>
        </w:rPr>
        <w:t>dashboard</w:t>
      </w:r>
      <w:proofErr w:type="spellEnd"/>
      <w:r>
        <w:rPr>
          <w:lang w:val="es-US"/>
        </w:rPr>
        <w:t xml:space="preserve"> final ya que, después de todo, la </w:t>
      </w:r>
      <w:r w:rsidRPr="00224156">
        <w:rPr>
          <w:b/>
          <w:bCs/>
          <w:lang w:val="es-US"/>
        </w:rPr>
        <w:t>Figura 1</w:t>
      </w:r>
      <w:r>
        <w:rPr>
          <w:lang w:val="es-US"/>
        </w:rPr>
        <w:t xml:space="preserve"> es solo un bosquejo.</w:t>
      </w:r>
    </w:p>
    <w:p w14:paraId="5EAB6067" w14:textId="2573F48B" w:rsidR="00FD3C70" w:rsidRDefault="00FD3C70" w:rsidP="005164B6">
      <w:pPr>
        <w:pStyle w:val="Ttulo2"/>
        <w:rPr>
          <w:lang w:val="es-US"/>
        </w:rPr>
      </w:pPr>
      <w:r>
        <w:rPr>
          <w:lang w:val="es-US"/>
        </w:rPr>
        <w:t>Explicación tipo de gráfica</w:t>
      </w:r>
    </w:p>
    <w:p w14:paraId="13FBBDED" w14:textId="77777777" w:rsidR="005164B6" w:rsidRDefault="005164B6">
      <w:pPr>
        <w:rPr>
          <w:lang w:val="es-US"/>
        </w:rPr>
      </w:pPr>
    </w:p>
    <w:p w14:paraId="62DB2BA3" w14:textId="7AA448C0" w:rsidR="00FD3C70" w:rsidRDefault="00FD3C70" w:rsidP="005164B6">
      <w:pPr>
        <w:pStyle w:val="Ttulo2"/>
        <w:rPr>
          <w:lang w:val="es-US"/>
        </w:rPr>
      </w:pPr>
      <w:r>
        <w:rPr>
          <w:lang w:val="es-US"/>
        </w:rPr>
        <w:t xml:space="preserve">Explicación elección del </w:t>
      </w:r>
      <w:proofErr w:type="spellStart"/>
      <w:r>
        <w:rPr>
          <w:lang w:val="es-US"/>
        </w:rPr>
        <w:t>framework</w:t>
      </w:r>
      <w:proofErr w:type="spellEnd"/>
    </w:p>
    <w:p w14:paraId="29E833A3" w14:textId="77777777" w:rsidR="009E71FE" w:rsidRDefault="009E71FE" w:rsidP="00FD3C70">
      <w:pPr>
        <w:pStyle w:val="Ttulo2"/>
        <w:rPr>
          <w:lang w:val="es-US"/>
        </w:rPr>
      </w:pPr>
    </w:p>
    <w:p w14:paraId="75342440" w14:textId="73C00E0E" w:rsidR="00FD3C70" w:rsidRDefault="00FD3C70" w:rsidP="00FD3C70">
      <w:pPr>
        <w:pStyle w:val="Ttulo2"/>
        <w:rPr>
          <w:lang w:val="es-US"/>
        </w:rPr>
      </w:pPr>
      <w:r>
        <w:rPr>
          <w:lang w:val="es-US"/>
        </w:rPr>
        <w:t>Preguntas exploratorias</w:t>
      </w:r>
    </w:p>
    <w:p w14:paraId="37AF0F22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t>¿Cuál es la cantidad de visitantes esperadas para los próximos 24 meses? (1 gráfico) </w:t>
      </w:r>
    </w:p>
    <w:p w14:paraId="51E455D4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lastRenderedPageBreak/>
        <w:t>¿Cómo se comporta el error de predicción? </w:t>
      </w:r>
    </w:p>
    <w:p w14:paraId="3FBD94FC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t>¿Cuál es el comportamiento histórico de visitantes? (1 gráfico) </w:t>
      </w:r>
    </w:p>
    <w:p w14:paraId="670961C2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t>¿Cuál es el top 5 de países que más visitantes tienen? (1 gráfico) </w:t>
      </w:r>
    </w:p>
    <w:p w14:paraId="6DF843FD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t>¿Qué meses son los que más visitantes tienen en promedio? (sin contar pandemia) (1 gráfico) </w:t>
      </w:r>
    </w:p>
    <w:p w14:paraId="68552C0E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t>¿Cuál es el crecimiento de un año respecto al anterior? (1 tarjeta) </w:t>
      </w:r>
    </w:p>
    <w:p w14:paraId="26880BB3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t>¿Cuál es el crecimiento del mes actual (de un año elegido) respecto al del año anterior? (1 tarjeta) </w:t>
      </w:r>
    </w:p>
    <w:p w14:paraId="4C359A1C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t>¿Cuál es la proporción de visitantes según la vía de ingreso en un año elegido? (1 gráfico) </w:t>
      </w:r>
    </w:p>
    <w:p w14:paraId="3F65F3F9" w14:textId="77777777" w:rsidR="00FD3C70" w:rsidRPr="00FD3C70" w:rsidRDefault="00FD3C70" w:rsidP="006500D3">
      <w:pPr>
        <w:pStyle w:val="Prrafodelista"/>
        <w:numPr>
          <w:ilvl w:val="0"/>
          <w:numId w:val="10"/>
        </w:numPr>
      </w:pPr>
      <w:r w:rsidRPr="00FD3C70">
        <w:t>¿Cómo se ve el crecimiento de visitantes de un año respecto al otro? (1 gráfico) </w:t>
      </w:r>
    </w:p>
    <w:p w14:paraId="263E44CC" w14:textId="4A4F76ED" w:rsidR="00FD3C70" w:rsidRDefault="00FD3C70" w:rsidP="00FD3C70">
      <w:pPr>
        <w:pStyle w:val="Ttulo2"/>
        <w:rPr>
          <w:lang w:val="es-US"/>
        </w:rPr>
      </w:pPr>
      <w:r>
        <w:rPr>
          <w:lang w:val="es-US"/>
        </w:rPr>
        <w:t>Alcance del tablero</w:t>
      </w:r>
    </w:p>
    <w:p w14:paraId="0B9ABDA0" w14:textId="77777777" w:rsidR="00FD3C70" w:rsidRPr="00FD3C70" w:rsidRDefault="00FD3C70" w:rsidP="00FD3C70">
      <w:r w:rsidRPr="00FD3C70">
        <w:t>El tablero incluirá la siguiente información, en base a datos proveídos por el Instituto de Turismo (INGUAT):  </w:t>
      </w:r>
    </w:p>
    <w:p w14:paraId="4A6954A7" w14:textId="77777777" w:rsidR="00FD3C70" w:rsidRPr="00FD3C70" w:rsidRDefault="00FD3C70" w:rsidP="00FD3C70">
      <w:pPr>
        <w:numPr>
          <w:ilvl w:val="0"/>
          <w:numId w:val="1"/>
        </w:numPr>
      </w:pPr>
      <w:r w:rsidRPr="00FD3C70">
        <w:t>Crecimiento interanual de visitantes </w:t>
      </w:r>
    </w:p>
    <w:p w14:paraId="45E166FB" w14:textId="77777777" w:rsidR="00FD3C70" w:rsidRPr="00FD3C70" w:rsidRDefault="00FD3C70" w:rsidP="00FD3C70">
      <w:pPr>
        <w:numPr>
          <w:ilvl w:val="0"/>
          <w:numId w:val="2"/>
        </w:numPr>
      </w:pPr>
      <w:r w:rsidRPr="00FD3C70">
        <w:t>Crecimiento de visitas del presente mes </w:t>
      </w:r>
    </w:p>
    <w:p w14:paraId="73387CA1" w14:textId="77777777" w:rsidR="00FD3C70" w:rsidRPr="00FD3C70" w:rsidRDefault="00FD3C70" w:rsidP="00FD3C70">
      <w:pPr>
        <w:numPr>
          <w:ilvl w:val="0"/>
          <w:numId w:val="3"/>
        </w:numPr>
      </w:pPr>
      <w:r w:rsidRPr="00FD3C70">
        <w:t>Registro histórico de visitantes </w:t>
      </w:r>
    </w:p>
    <w:p w14:paraId="59121756" w14:textId="77777777" w:rsidR="00FD3C70" w:rsidRPr="00FD3C70" w:rsidRDefault="00FD3C70" w:rsidP="00FD3C70">
      <w:pPr>
        <w:numPr>
          <w:ilvl w:val="0"/>
          <w:numId w:val="4"/>
        </w:numPr>
      </w:pPr>
      <w:r w:rsidRPr="00FD3C70">
        <w:t>Top 5 países desde los que ingresan más visitantes al país </w:t>
      </w:r>
    </w:p>
    <w:p w14:paraId="261618FB" w14:textId="77777777" w:rsidR="00FD3C70" w:rsidRPr="00FD3C70" w:rsidRDefault="00FD3C70" w:rsidP="00FD3C70">
      <w:pPr>
        <w:numPr>
          <w:ilvl w:val="0"/>
          <w:numId w:val="5"/>
        </w:numPr>
      </w:pPr>
      <w:r w:rsidRPr="00FD3C70">
        <w:t>Crecimiento anual de visitantes </w:t>
      </w:r>
    </w:p>
    <w:p w14:paraId="38C92DC0" w14:textId="77777777" w:rsidR="00FD3C70" w:rsidRPr="00FD3C70" w:rsidRDefault="00FD3C70" w:rsidP="00FD3C70">
      <w:pPr>
        <w:numPr>
          <w:ilvl w:val="0"/>
          <w:numId w:val="6"/>
        </w:numPr>
      </w:pPr>
      <w:r w:rsidRPr="00FD3C70">
        <w:t>Proyección de cantidad de visitantes a 24 meses del presente mes </w:t>
      </w:r>
    </w:p>
    <w:p w14:paraId="18ECED0E" w14:textId="77777777" w:rsidR="00FD3C70" w:rsidRPr="00FD3C70" w:rsidRDefault="00FD3C70" w:rsidP="00FD3C70">
      <w:pPr>
        <w:numPr>
          <w:ilvl w:val="0"/>
          <w:numId w:val="7"/>
        </w:numPr>
      </w:pPr>
      <w:r w:rsidRPr="00FD3C70">
        <w:t>Meses con más visitantes. </w:t>
      </w:r>
    </w:p>
    <w:p w14:paraId="017D9BF2" w14:textId="16CA8BD3" w:rsidR="00FD3C70" w:rsidRPr="00FD3C70" w:rsidRDefault="00FD3C70" w:rsidP="00FD3C70">
      <w:pPr>
        <w:numPr>
          <w:ilvl w:val="0"/>
          <w:numId w:val="8"/>
        </w:numPr>
      </w:pPr>
      <w:r w:rsidRPr="00FD3C70">
        <w:t>Proporción de visitantes según su vía de ingreso (Aérea, Terrestre, Marítima). </w:t>
      </w:r>
    </w:p>
    <w:p w14:paraId="75574937" w14:textId="77777777" w:rsidR="00FD3C70" w:rsidRDefault="00FD3C70" w:rsidP="00FD3C70">
      <w:pPr>
        <w:pStyle w:val="Ttulo2"/>
        <w:rPr>
          <w:lang w:val="es-US"/>
        </w:rPr>
      </w:pPr>
    </w:p>
    <w:p w14:paraId="7FE3B1AB" w14:textId="7E4D44DA" w:rsidR="00FD3C70" w:rsidRDefault="00FD3C70" w:rsidP="00FD3C70">
      <w:pPr>
        <w:pStyle w:val="Ttulo2"/>
        <w:rPr>
          <w:lang w:val="es-US"/>
        </w:rPr>
      </w:pPr>
      <w:r>
        <w:rPr>
          <w:lang w:val="es-US"/>
        </w:rPr>
        <w:t xml:space="preserve">Planificación de tareas 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2685"/>
        <w:gridCol w:w="2400"/>
      </w:tblGrid>
      <w:tr w:rsidR="00FD3C70" w:rsidRPr="00FD3C70" w14:paraId="5E61AFFE" w14:textId="77777777"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F3C028" w14:textId="77777777" w:rsidR="00FD3C70" w:rsidRPr="00FD3C70" w:rsidRDefault="00FD3C70" w:rsidP="00FD3C70">
            <w:r w:rsidRPr="00FD3C70">
              <w:rPr>
                <w:b/>
                <w:bCs/>
              </w:rPr>
              <w:t>Tarea</w:t>
            </w:r>
            <w:r w:rsidRPr="00FD3C70"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1F98E6" w14:textId="77777777" w:rsidR="00FD3C70" w:rsidRPr="00FD3C70" w:rsidRDefault="00FD3C70" w:rsidP="00FD3C70">
            <w:r w:rsidRPr="00FD3C70">
              <w:rPr>
                <w:b/>
                <w:bCs/>
              </w:rPr>
              <w:t>Responsable</w:t>
            </w:r>
            <w:r w:rsidRPr="00FD3C70"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397C48" w14:textId="77777777" w:rsidR="00FD3C70" w:rsidRPr="00FD3C70" w:rsidRDefault="00FD3C70" w:rsidP="00FD3C70">
            <w:r w:rsidRPr="00FD3C70">
              <w:rPr>
                <w:b/>
                <w:bCs/>
              </w:rPr>
              <w:t>Fecha límite</w:t>
            </w:r>
            <w:r w:rsidRPr="00FD3C70">
              <w:t> </w:t>
            </w:r>
          </w:p>
        </w:tc>
      </w:tr>
      <w:tr w:rsidR="00FD3C70" w:rsidRPr="00FD3C70" w14:paraId="634496E1" w14:textId="77777777"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A99B4F" w14:textId="77777777" w:rsidR="00FD3C70" w:rsidRPr="00FD3C70" w:rsidRDefault="00FD3C70" w:rsidP="00FD3C70">
            <w:r w:rsidRPr="00FD3C70">
              <w:t>Preprocesamiento de datos 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B7FF16" w14:textId="77777777" w:rsidR="00FD3C70" w:rsidRPr="00FD3C70" w:rsidRDefault="00FD3C70" w:rsidP="00FD3C70">
            <w:r w:rsidRPr="00FD3C70">
              <w:t>Ian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C1E396" w14:textId="77777777" w:rsidR="00FD3C70" w:rsidRPr="00FD3C70" w:rsidRDefault="00FD3C70" w:rsidP="00FD3C70">
            <w:r w:rsidRPr="00FD3C70">
              <w:t>23 de octubre </w:t>
            </w:r>
          </w:p>
        </w:tc>
      </w:tr>
      <w:tr w:rsidR="00FD3C70" w:rsidRPr="00FD3C70" w14:paraId="0511983C" w14:textId="77777777"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5D2814" w14:textId="77777777" w:rsidR="00FD3C70" w:rsidRPr="00FD3C70" w:rsidRDefault="00FD3C70" w:rsidP="00FD3C70">
            <w:r w:rsidRPr="00FD3C70">
              <w:lastRenderedPageBreak/>
              <w:t>Implementación de modelos predictivos 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77F26" w14:textId="77777777" w:rsidR="00FD3C70" w:rsidRPr="00FD3C70" w:rsidRDefault="00FD3C70" w:rsidP="00FD3C70">
            <w:r w:rsidRPr="00FD3C70">
              <w:t>Ricardo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35C6A0" w14:textId="77777777" w:rsidR="00FD3C70" w:rsidRPr="00FD3C70" w:rsidRDefault="00FD3C70" w:rsidP="00FD3C70">
            <w:r w:rsidRPr="00FD3C70">
              <w:t>24 de octubre </w:t>
            </w:r>
          </w:p>
        </w:tc>
      </w:tr>
      <w:tr w:rsidR="00FD3C70" w:rsidRPr="00FD3C70" w14:paraId="5F4971D1" w14:textId="77777777"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09DA71" w14:textId="77777777" w:rsidR="00FD3C70" w:rsidRPr="00FD3C70" w:rsidRDefault="00FD3C70" w:rsidP="00FD3C70">
            <w:r w:rsidRPr="00FD3C70">
              <w:t>Visualizaciones y cuadro de mando 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0DCDB6" w14:textId="77777777" w:rsidR="00FD3C70" w:rsidRPr="00FD3C70" w:rsidRDefault="00FD3C70" w:rsidP="00FD3C70">
            <w:r w:rsidRPr="00FD3C70">
              <w:t>Martín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997C7D" w14:textId="43E9E043" w:rsidR="00FD3C70" w:rsidRPr="00FD3C70" w:rsidRDefault="00FD3C70" w:rsidP="00FD3C70">
            <w:r>
              <w:t>25</w:t>
            </w:r>
            <w:r w:rsidRPr="00FD3C70">
              <w:t xml:space="preserve"> de octubre </w:t>
            </w:r>
          </w:p>
        </w:tc>
      </w:tr>
      <w:tr w:rsidR="00FD3C70" w:rsidRPr="00FD3C70" w14:paraId="6F9D2B5F" w14:textId="77777777"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A057CA" w14:textId="77777777" w:rsidR="00FD3C70" w:rsidRPr="00FD3C70" w:rsidRDefault="00FD3C70" w:rsidP="00FD3C70">
            <w:r w:rsidRPr="00FD3C70">
              <w:t>Documento de diseño 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549355" w14:textId="77777777" w:rsidR="00FD3C70" w:rsidRPr="00FD3C70" w:rsidRDefault="00FD3C70" w:rsidP="00FD3C70">
            <w:r w:rsidRPr="00FD3C70">
              <w:t>Ian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A5117F" w14:textId="77777777" w:rsidR="00FD3C70" w:rsidRPr="00FD3C70" w:rsidRDefault="00FD3C70" w:rsidP="00FD3C70">
            <w:r w:rsidRPr="00FD3C70">
              <w:t>25 de octubre </w:t>
            </w:r>
          </w:p>
        </w:tc>
      </w:tr>
    </w:tbl>
    <w:p w14:paraId="0A9DDD86" w14:textId="77777777" w:rsidR="00FD3C70" w:rsidRPr="00FD3C70" w:rsidRDefault="00FD3C70" w:rsidP="00FD3C70">
      <w:pPr>
        <w:rPr>
          <w:lang w:val="es-US"/>
        </w:rPr>
      </w:pPr>
    </w:p>
    <w:p w14:paraId="128A37E5" w14:textId="77777777" w:rsidR="00FD3C70" w:rsidRPr="00FD3C70" w:rsidRDefault="00FD3C70">
      <w:pPr>
        <w:rPr>
          <w:lang w:val="es-US"/>
        </w:rPr>
      </w:pPr>
    </w:p>
    <w:sectPr w:rsidR="00FD3C70" w:rsidRPr="00FD3C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3234"/>
    <w:multiLevelType w:val="hybridMultilevel"/>
    <w:tmpl w:val="662CFDD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053CB"/>
    <w:multiLevelType w:val="multilevel"/>
    <w:tmpl w:val="8FE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653CF"/>
    <w:multiLevelType w:val="multilevel"/>
    <w:tmpl w:val="E41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55EC3"/>
    <w:multiLevelType w:val="multilevel"/>
    <w:tmpl w:val="74D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491EF8"/>
    <w:multiLevelType w:val="multilevel"/>
    <w:tmpl w:val="ABD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450B0"/>
    <w:multiLevelType w:val="multilevel"/>
    <w:tmpl w:val="763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5B6E04"/>
    <w:multiLevelType w:val="multilevel"/>
    <w:tmpl w:val="A58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5361E4"/>
    <w:multiLevelType w:val="multilevel"/>
    <w:tmpl w:val="4D7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6835B3"/>
    <w:multiLevelType w:val="multilevel"/>
    <w:tmpl w:val="821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021907"/>
    <w:multiLevelType w:val="hybridMultilevel"/>
    <w:tmpl w:val="9DC886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453678">
    <w:abstractNumId w:val="8"/>
  </w:num>
  <w:num w:numId="2" w16cid:durableId="251790669">
    <w:abstractNumId w:val="3"/>
  </w:num>
  <w:num w:numId="3" w16cid:durableId="139688175">
    <w:abstractNumId w:val="2"/>
  </w:num>
  <w:num w:numId="4" w16cid:durableId="571698064">
    <w:abstractNumId w:val="6"/>
  </w:num>
  <w:num w:numId="5" w16cid:durableId="454521981">
    <w:abstractNumId w:val="7"/>
  </w:num>
  <w:num w:numId="6" w16cid:durableId="2081322513">
    <w:abstractNumId w:val="4"/>
  </w:num>
  <w:num w:numId="7" w16cid:durableId="1397048480">
    <w:abstractNumId w:val="5"/>
  </w:num>
  <w:num w:numId="8" w16cid:durableId="2112892070">
    <w:abstractNumId w:val="1"/>
  </w:num>
  <w:num w:numId="9" w16cid:durableId="1971206654">
    <w:abstractNumId w:val="0"/>
  </w:num>
  <w:num w:numId="10" w16cid:durableId="93478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70"/>
    <w:rsid w:val="00224156"/>
    <w:rsid w:val="004C6203"/>
    <w:rsid w:val="005164B6"/>
    <w:rsid w:val="006500D3"/>
    <w:rsid w:val="009E71FE"/>
    <w:rsid w:val="00AF4DE7"/>
    <w:rsid w:val="00AF742C"/>
    <w:rsid w:val="00B85795"/>
    <w:rsid w:val="00FD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69191"/>
  <w15:chartTrackingRefBased/>
  <w15:docId w15:val="{E26535F9-FD86-4897-A13C-7E080478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C70"/>
  </w:style>
  <w:style w:type="paragraph" w:styleId="Ttulo1">
    <w:name w:val="heading 1"/>
    <w:basedOn w:val="Normal"/>
    <w:next w:val="Normal"/>
    <w:link w:val="Ttulo1Car"/>
    <w:uiPriority w:val="9"/>
    <w:qFormat/>
    <w:rsid w:val="00FD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3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C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C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C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C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C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C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C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C7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FD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normaltextrun">
    <w:name w:val="normaltextrun"/>
    <w:basedOn w:val="Fuentedeprrafopredeter"/>
    <w:rsid w:val="00FD3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580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PAZ, IAN ARI</dc:creator>
  <cp:keywords/>
  <dc:description/>
  <cp:lastModifiedBy>CASTELLANOS PAZ, IAN ARI</cp:lastModifiedBy>
  <cp:revision>3</cp:revision>
  <dcterms:created xsi:type="dcterms:W3CDTF">2026-10-24T19:12:00Z</dcterms:created>
  <dcterms:modified xsi:type="dcterms:W3CDTF">2026-10-24T19:51:00Z</dcterms:modified>
</cp:coreProperties>
</file>