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Pontificia Universidade Catolica de Goias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Escola de Ciências Exatas e da  Computação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</w:rPr>
      </w:pPr>
      <w:r w:rsidDel="00000000" w:rsidR="00000000" w:rsidRPr="00000000"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  <w:rtl w:val="0"/>
        </w:rPr>
        <w:t xml:space="preserve">Plano dE RISCOS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1.0385064177362"/>
        <w:gridCol w:w="2286.6511085180864"/>
        <w:gridCol w:w="2071.1551925320887"/>
        <w:gridCol w:w="2071.1551925320887"/>
        <w:tblGridChange w:id="0">
          <w:tblGrid>
            <w:gridCol w:w="3831.0385064177362"/>
            <w:gridCol w:w="2286.6511085180864"/>
            <w:gridCol w:w="2071.1551925320887"/>
            <w:gridCol w:w="2071.15519253208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Quicksand" w:cs="Quicksand" w:eastAsia="Quicksand" w:hAnsi="Quicksand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 do Projeto 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rtl w:val="0"/>
              </w:rPr>
              <w:t xml:space="preserve"> Implementação de Jornal Digital “Atual”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Data Início : 30/10/18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Data Final: 15/12/18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Nº do plano: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Fonts w:ascii="Quicksand" w:cs="Quicksand" w:eastAsia="Quicksand" w:hAnsi="Quicksand"/>
                <w:rtl w:val="0"/>
              </w:rPr>
              <w:t xml:space="preserve">PDR-001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O Risco será o resultado da multiplicação da probabilidade de o risco ocorrer com o impacto: Probabilidade x Impacto.</w:t>
      </w:r>
    </w:p>
    <w:p w:rsidR="00000000" w:rsidDel="00000000" w:rsidP="00000000" w:rsidRDefault="00000000" w:rsidRPr="00000000" w14:paraId="00000011">
      <w:pPr>
        <w:contextualSpacing w:val="0"/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Quanto a Construção: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40.0" w:type="dxa"/>
        <w:jc w:val="left"/>
        <w:tblInd w:w="6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3885"/>
        <w:gridCol w:w="2085"/>
        <w:tblGridChange w:id="0">
          <w:tblGrid>
            <w:gridCol w:w="1770"/>
            <w:gridCol w:w="3885"/>
            <w:gridCol w:w="208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Variáveis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Chance de o risco ocorrer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 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Dano ou prejuízo ao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 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 de tratamento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 5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635"/>
        <w:gridCol w:w="900"/>
        <w:gridCol w:w="930"/>
        <w:gridCol w:w="930"/>
        <w:gridCol w:w="930"/>
        <w:gridCol w:w="930"/>
        <w:tblGridChange w:id="0">
          <w:tblGrid>
            <w:gridCol w:w="2610"/>
            <w:gridCol w:w="1635"/>
            <w:gridCol w:w="900"/>
            <w:gridCol w:w="930"/>
            <w:gridCol w:w="930"/>
            <w:gridCol w:w="930"/>
            <w:gridCol w:w="9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Probabilidade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65.0" w:type="dxa"/>
        <w:jc w:val="left"/>
        <w:tblInd w:w="1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2190"/>
        <w:tblGridChange w:id="0">
          <w:tblGrid>
            <w:gridCol w:w="3675"/>
            <w:gridCol w:w="21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>
          <w:rFonts w:ascii="Quicksand" w:cs="Quicksand" w:eastAsia="Quicksand" w:hAnsi="Quicksand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8"/>
          <w:szCs w:val="28"/>
          <w:rtl w:val="0"/>
        </w:rPr>
        <w:t xml:space="preserve">A prioridade de tratamento será de acordo com o Risco calculado. Quanto maior o risco, maior sua prioridade de tratamento.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 de Tratamento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6.30081300813"/>
        <w:gridCol w:w="1676.30081300813"/>
        <w:gridCol w:w="1284.7560975609756"/>
        <w:gridCol w:w="1284.7560975609756"/>
        <w:gridCol w:w="1101.219512195122"/>
        <w:gridCol w:w="905.4471544715448"/>
        <w:gridCol w:w="1101.219512195122"/>
        <w:tblGridChange w:id="0">
          <w:tblGrid>
            <w:gridCol w:w="1676.30081300813"/>
            <w:gridCol w:w="1676.30081300813"/>
            <w:gridCol w:w="1284.7560975609756"/>
            <w:gridCol w:w="1284.7560975609756"/>
            <w:gridCol w:w="1101.219512195122"/>
            <w:gridCol w:w="905.4471544715448"/>
            <w:gridCol w:w="1101.219512195122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identificação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Identificado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Dificuldade de obter aprovação do produto do projeto pelo dono do produto, ou pelos stakeholders responsáveis.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Estimativas imprecisas de 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Falha de comunicação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Atraso ou falhas no projeto devido a ocupações com atividades operacionais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Alto</w:t>
            </w:r>
          </w:p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Aumento ou mudança do escopo do projeto durante a realização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Problemas de relacionamento entre os integrantes da equipe.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Ambiente de trabalho ruim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92d05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2d05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Baixo</w:t>
            </w:r>
          </w:p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Tarefas mal distribuídas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RS009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Falha no servidor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65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Muito alto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Ataque de hackers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(9)</w:t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RS011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doente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Médio</w:t>
            </w:r>
          </w:p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>
          <w:rFonts w:ascii="Bungee Shade" w:cs="Bungee Shade" w:eastAsia="Bungee Shade" w:hAnsi="Bungee Shade"/>
          <w:color w:val="434343"/>
          <w:sz w:val="48"/>
          <w:szCs w:val="48"/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icksand">
    <w:embedRegular w:fontKey="{00000000-0000-0000-0000-000000000000}" r:id="rId1" w:subsetted="0"/>
    <w:embedBold w:fontKey="{00000000-0000-0000-0000-000000000000}" r:id="rId2" w:subsetted="0"/>
  </w:font>
  <w:font w:name="Bungee Shad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BungeeShad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