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תקן בדיקה סינתטי — אינו תקן אמיתי</w:t>
      </w:r>
    </w:p>
    <w:p>
      <w:pPr>
        <w:pStyle w:val="Title"/>
        <w:jc w:val="right"/>
        <w:bidi/>
      </w:pPr>
      <w:r>
        <w:rPr>
          <w:rtl/>
        </w:rPr>
        <w:t>הבהרה מס' 1 לתקן 98.1</w:t>
      </w:r>
    </w:p>
    <w:p>
      <w:pPr>
        <w:jc w:val="right"/>
        <w:bidi/>
      </w:pPr>
      <w:r>
        <w:rPr>
          <w:rtl/>
        </w:rPr>
        <w:t>פורסמה ביום 15.11.2025.</w:t>
      </w:r>
    </w:p>
    <w:p>
      <w:pPr>
        <w:pStyle w:val="Heading1"/>
        <w:jc w:val="right"/>
        <w:bidi/>
      </w:pPr>
      <w:r>
        <w:rPr>
          <w:rtl/>
        </w:rPr>
        <w:t>1. הבהרה לעניין גישת ההשוואה</w:t>
      </w:r>
    </w:p>
    <w:p>
      <w:pPr>
        <w:jc w:val="right"/>
        <w:bidi/>
      </w:pPr>
      <w:r>
        <w:rPr>
          <w:rtl/>
        </w:rPr>
        <w:t>הבהרה זו מסבירה את סעיף 2.1 של תקן 98.1: המונח עסקאות השוואה כולל גם עסקאות שנעשו בנכס סמוך באותו רחוב.</w:t>
      </w:r>
    </w:p>
    <w:p>
      <w:pPr>
        <w:jc w:val="right"/>
        <w:bidi/>
      </w:pPr>
      <w:r>
        <w:rPr>
          <w:rtl/>
        </w:rPr>
        <w:t>אין בהבהרה כדי לשנות את הדרישה לבסס את ההערכה על עסקאות 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תקן בדיקה סינתטי — אינו תקן אמיתי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תקן בדיקה סינתטי — אינו תקן אמיתי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תקן בדיקה סינתטי — אינו תקן אמיתי - R10c synthetic clarification of 98 1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