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שומת מקרקעין – מבנה מסחרי, רחוב הכלנית 6, כרם הזית</w:t>
      </w:r>
    </w:p>
    <w:p>
      <w:pPr>
        <w:pStyle w:val="Heading1"/>
      </w:pPr>
      <w:r>
        <w:t>1. תיאור הנכס</w:t>
      </w:r>
    </w:p>
    <w:p>
      <w:r>
        <w:t>מבנה מסחרי בן שתי קומות, בשטח בנוי של 1,150 מ"ר, ובו 7 חנויות.</w:t>
      </w:r>
    </w:p>
    <w:p>
      <w:pPr>
        <w:pStyle w:val="Heading1"/>
      </w:pPr>
      <w:r>
        <w:t>2. השומה</w:t>
      </w:r>
    </w:p>
    <w:p>
      <w:r>
        <w:t>השווי למ"ר בנוי למסחר נקבע ל-8,700 ₪, ללא מע"מ.</w:t>
      </w:r>
    </w:p>
    <w:p>
      <w:r>
        <w:t>השווי הכולל של המבנה הוא 10,005,000 ₪, ללא מע"מ.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