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12,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12</w:t>
      </w:r>
    </w:p>
    <w:p>
      <w:pPr>
        <w:jc w:val="right"/>
        <w:bidi/>
      </w:pPr>
      <w:r>
        <w:rPr>
          <w:rtl/>
        </w:rPr>
        <w:t>גוש: 9001 חלקה: 12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31/12/2025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12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jc w:val="right"/>
        <w:bidi/>
      </w:pPr>
      <w:r>
        <w:rPr>
          <w:rtl/>
        </w:rPr>
        <w:t>שווי הזכויות בנכס הוערך ב-2,640,000 ₪ נכון למועד הקובע.</w:t>
      </w:r>
    </w:p>
    <w:p>
      <w:pPr>
        <w:jc w:val="right"/>
        <w:bidi/>
      </w:pPr>
      <w:r>
        <w:rPr>
          <w:rtl/>
        </w:rPr>
        <w:t>בעבר הוערך הנכס ב-2,100,000 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12 עיר-סינתטית דפוס dp current conclusion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