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הצפצפה 21,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הצפצפה 21</w:t>
      </w:r>
    </w:p>
    <w:p>
      <w:pPr>
        <w:jc w:val="right"/>
        <w:bidi/>
      </w:pPr>
      <w:r>
        <w:rPr>
          <w:rtl/>
        </w:rPr>
        <w:t>גוש: 9103 חלקה: 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30/06/2024</w:t>
      </w:r>
    </w:p>
    <w:p>
      <w:pPr>
        <w:jc w:val="right"/>
        <w:bidi/>
      </w:pPr>
      <w:r>
        <w:rPr>
          <w:rtl/>
        </w:rPr>
        <w:t>תאריך עריכת השומה: 20/07/2024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הצפצפה 21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מקדמי התאמה</w:t>
      </w:r>
    </w:p>
    <w:p>
      <w:pPr>
        <w:jc w:val="right"/>
        <w:bidi/>
      </w:pPr>
      <w:r>
        <w:rPr>
          <w:rtl/>
        </w:rPr>
        <w:t>טבלת מקדמי התאמה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רכיב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הפחתה בשל מגבלות בנייה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0.85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מיקום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1.1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הצפצפה 21 עיר-סינתטית 02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