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pStyle w:val="Title"/>
        <w:jc w:val="right"/>
        <w:bidi/>
      </w:pPr>
      <w:r>
        <w:rPr>
          <w:rtl/>
        </w:rPr>
        <w:t>תקן מס' 98.1 — הערכת שווי מקרקעין בדויה</w:t>
      </w:r>
    </w:p>
    <w:p>
      <w:pPr>
        <w:jc w:val="right"/>
        <w:bidi/>
      </w:pPr>
      <w:r>
        <w:rPr>
          <w:rtl/>
        </w:rPr>
        <w:t>גרסה 2.0</w:t>
      </w:r>
    </w:p>
    <w:p>
      <w:pPr>
        <w:jc w:val="right"/>
        <w:bidi/>
      </w:pPr>
      <w:r>
        <w:rPr>
          <w:rtl/>
        </w:rPr>
        <w:t>פורסם ביום 01.03.2026.</w:t>
      </w:r>
    </w:p>
    <w:p>
      <w:pPr>
        <w:jc w:val="right"/>
        <w:bidi/>
      </w:pPr>
      <w:r>
        <w:rPr>
          <w:rtl/>
        </w:rPr>
        <w:t>תחילתו ביום 01.04.2026.</w:t>
      </w:r>
    </w:p>
    <w:p>
      <w:pPr>
        <w:jc w:val="right"/>
        <w:bidi/>
      </w:pPr>
      <w:r>
        <w:rPr>
          <w:rtl/>
        </w:rPr>
        <w:t>תקן זה חל על הערכת שווי של מקרקעין בדויים לצורכי בדיקות מערכת בלבד.</w:t>
      </w:r>
    </w:p>
    <w:p>
      <w:pPr>
        <w:pStyle w:val="Heading1"/>
        <w:jc w:val="right"/>
        <w:bidi/>
      </w:pPr>
      <w:r>
        <w:rPr>
          <w:rtl/>
        </w:rPr>
        <w:t>1. כללי</w:t>
      </w:r>
    </w:p>
    <w:p>
      <w:pPr>
        <w:jc w:val="right"/>
        <w:bidi/>
      </w:pPr>
      <w:r>
        <w:rPr>
          <w:rtl/>
        </w:rPr>
        <w:t>תקן זה מפרט כללים בדויים להערכת שווי. לפירוט שיטות ההערכה ראו סעיף 2. לעניין מקדמי ההמרה ראו תקן 97.</w:t>
      </w:r>
    </w:p>
    <w:p>
      <w:pPr>
        <w:pStyle w:val="Heading1"/>
        <w:jc w:val="right"/>
        <w:bidi/>
      </w:pPr>
      <w:r>
        <w:rPr>
          <w:rtl/>
        </w:rPr>
        <w:t>2. שלוש גישות השומה הבסיסיות</w:t>
      </w:r>
    </w:p>
    <w:p>
      <w:pPr>
        <w:jc w:val="right"/>
        <w:bidi/>
      </w:pPr>
      <w:r>
        <w:rPr>
          <w:rtl/>
        </w:rPr>
        <w:t>בתקן זה שלוש גישות בסיסיות להערכת שווי: גישת ההשוואה, גישת ההכנסות וגישת העלות. על השמאי לציין באיזו גישה נקבע השווי ומדוע.</w:t>
      </w:r>
    </w:p>
    <w:p>
      <w:pPr>
        <w:pStyle w:val="Heading2"/>
        <w:jc w:val="right"/>
        <w:bidi/>
      </w:pPr>
      <w:r>
        <w:rPr>
          <w:rtl/>
        </w:rPr>
        <w:t>2.1 גישת ההשוואה</w:t>
      </w:r>
    </w:p>
    <w:p>
      <w:pPr>
        <w:jc w:val="right"/>
        <w:bidi/>
      </w:pPr>
      <w:r>
        <w:rPr>
          <w:rtl/>
        </w:rPr>
        <w:t>על השמאי להסתמך על חמש עסקאות השוואה לפחות, ולהציג כל אחת מהן בנפרד. בתנאי שהעסקאות נעשו בתוך שנה מהמועד הקובע.</w:t>
      </w:r>
    </w:p>
    <w:p>
      <w:pPr>
        <w:jc w:val="right"/>
        <w:bidi/>
      </w:pPr>
      <w:r>
        <w:rPr>
          <w:rtl/>
        </w:rPr>
        <w:t>הוראה זו חלה על כל הנכסים למעט נכסים חריגים שאין להם נכסי השוואה.</w:t>
      </w:r>
    </w:p>
    <w:p>
      <w:pPr>
        <w:pStyle w:val="Heading2"/>
        <w:jc w:val="right"/>
        <w:bidi/>
      </w:pPr>
      <w:r>
        <w:rPr>
          <w:rtl/>
        </w:rPr>
        <w:t>2.2 גישת ההכנסות</w:t>
      </w:r>
    </w:p>
    <w:p>
      <w:pPr>
        <w:jc w:val="right"/>
        <w:bidi/>
      </w:pPr>
      <w:r>
        <w:rPr>
          <w:rtl/>
        </w:rPr>
        <w:t>מומלץ להוון את ההכנסה הנקייה של הנכס לפי שיעור היוון שנקבע לפי השוק.</w:t>
      </w:r>
    </w:p>
    <w:p>
      <w:pPr>
        <w:jc w:val="right"/>
        <w:bidi/>
      </w:pPr>
      <w:r>
        <w:rPr>
          <w:rtl/>
        </w:rPr>
        <w:t>לדוגמה: נכס מניב שהכנסתו השנתית הנקייה ידועה.</w:t>
      </w:r>
    </w:p>
    <w:p>
      <w:pPr>
        <w:pStyle w:val="Heading2"/>
        <w:jc w:val="right"/>
        <w:bidi/>
      </w:pPr>
      <w:r>
        <w:rPr>
          <w:rtl/>
        </w:rPr>
        <w:t>2.3 גישת העלות</w:t>
      </w:r>
    </w:p>
    <w:p>
      <w:pPr>
        <w:jc w:val="right"/>
        <w:bidi/>
      </w:pPr>
      <w:r>
        <w:rPr>
          <w:rtl/>
        </w:rPr>
        <w:t>גישה זו משמשת לנכסים שאין להם שוק פעיל, ולחלופין רשאי השמאי להשתמש בה כבדיקת סבירות.</w:t>
      </w:r>
    </w:p>
    <w:p>
      <w:pPr>
        <w:pStyle w:val="Heading1"/>
        <w:jc w:val="right"/>
        <w:bidi/>
      </w:pPr>
      <w:r>
        <w:rPr>
          <w:rtl/>
        </w:rPr>
        <w:t>3. הגדרות</w:t>
      </w:r>
    </w:p>
    <w:p>
      <w:pPr>
        <w:jc w:val="right"/>
        <w:bidi/>
      </w:pPr>
      <w:r>
        <w:rPr>
          <w:rtl/>
        </w:rPr>
        <w:t>דמי שכירות ראויים (דמ״ש) – דמי השכירות החודשיים שהיו משולמים בשוק עבור הנכס בתנאים רגילים, כשהוא פנוי ומוכן להשכרה.</w:t>
      </w:r>
    </w:p>
    <w:p>
      <w:pPr>
        <w:jc w:val="right"/>
        <w:bidi/>
      </w:pPr>
      <w:r>
        <w:rPr>
          <w:rtl/>
        </w:rPr>
        <w:t>היוון הכנסות – המרת הכנסה שנתית נקייה לשווי נכס, על ידי חלוקתה בשיעור היוון.</w:t>
      </w:r>
    </w:p>
    <w:p>
      <w:pPr>
        <w:jc w:val="right"/>
        <w:bidi/>
      </w:pPr>
      <w:r>
        <w:rPr>
          <w:rtl/>
        </w:rPr>
        <w:t>שיעור היוון – היחס בין ההכנסה השנתית הנקייה של נכס לבין שוויו.</w:t>
      </w:r>
    </w:p>
    <w:p>
      <w:pPr>
        <w:jc w:val="right"/>
        <w:bidi/>
      </w:pPr>
      <w:r>
        <w:rPr>
          <w:rtl/>
        </w:rPr>
        <w:t>שווי שוק – המחיר המשוער שבו היה נמכר נכס בשוק הבדוי ביום הקובע, בין קונה מרצון למוכר מרצון.</w:t>
      </w:r>
    </w:p>
    <w:p>
      <w:pPr>
        <w:jc w:val="right"/>
        <w:bidi/>
      </w:pPr>
      <w:r>
        <w:rPr>
          <w:rtl/>
        </w:rPr>
        <w:t>נכס השוואה – נכס דומה לנכס המוערך שנמכר או הושכר סמוך למועד הקובע.</w:t>
      </w:r>
    </w:p>
    <w:p>
      <w:pPr>
        <w:jc w:val="right"/>
        <w:bidi/>
      </w:pPr>
      <w:r>
        <w:rPr>
          <w:rtl/>
        </w:rPr>
        <w:t>הערה: ההגדרות בתקן זה בדויות ונועדו לבדיקת המערכת בלבד.</w:t>
      </w:r>
    </w:p>
    <w:p>
      <w:pPr>
        <w:pStyle w:val="Heading1"/>
        <w:jc w:val="right"/>
        <w:bidi/>
      </w:pPr>
      <w:r>
        <w:rPr>
          <w:rtl/>
        </w:rPr>
        <w:t>נספח א' – טבלת מקדמים סינתטית</w:t>
      </w:r>
    </w:p>
    <w:p>
      <w:pPr>
        <w:jc w:val="right"/>
        <w:bidi/>
      </w:pPr>
      <w:r>
        <w:rPr>
          <w:rtl/>
        </w:rPr>
        <w:t>הטבלה שלהלן בדויה ואינה משמשת לשום חישוב אמיתי.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קומה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1.02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מעלית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1.05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R10b synthetic standard 98 1 edition 2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