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14)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הברוש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הברוש 3</w:t>
      </w:r>
    </w:p>
    <w:p>
      <w:pPr>
        <w:jc w:val="right"/>
        <w:bidi/>
      </w:pPr>
      <w:r>
        <w:rPr>
          <w:rtl/>
        </w:rPr>
        <w:t>גוש: 9304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הברוש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הפחתות</w:t>
      </w:r>
    </w:p>
    <w:p>
      <w:pPr>
        <w:jc w:val="right"/>
        <w:bidi/>
      </w:pPr>
      <w:r>
        <w:rPr>
          <w:rtl/>
        </w:rPr>
        <w:t>נלקח מקדם הפחתה בשיעור 20% בגין סחירות.</w:t>
      </w:r>
    </w:p>
    <w:p>
      <w:pPr>
        <w:pStyle w:val="Heading1"/>
        <w:jc w:val="right"/>
        <w:bidi/>
      </w:pPr>
      <w:r>
        <w:rPr>
          <w:rtl/>
        </w:rPr>
        <w:t>4. הפחתה נוספת</w:t>
      </w:r>
    </w:p>
    <w:p>
      <w:pPr>
        <w:jc w:val="right"/>
        <w:bidi/>
      </w:pPr>
      <w:r>
        <w:rPr>
          <w:rtl/>
        </w:rPr>
        <w:t>השמאי לא מצא לנכון לתת הפחתה בגין אינטנסיביות שימוש. הנכס נבדק לגופו ונמצא תקין. לאור האמור, בחוות דעת זו הבאתי בחשבון מקדם הפחתה נוסף של 10%.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14)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14)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14) — נתונים בדויים לבדיקת המערכת בלבד - שומה רחוב הברוש 3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