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31/03/2026</w:t>
      </w:r>
    </w:p>
    <w:p>
      <w:pPr>
        <w:jc w:val="right"/>
        <w:bidi/>
      </w:pPr>
      <w:r>
        <w:rPr>
          <w:rtl/>
        </w:rPr>
        <w:t>תאריך עריכת השומה: 20/04/2026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סכום ההערכה הסופי לדירה עומד על 4,350,000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15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