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הרימון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הרימון 2</w:t>
      </w:r>
    </w:p>
    <w:p>
      <w:pPr>
        <w:jc w:val="right"/>
        <w:bidi/>
      </w:pPr>
      <w:r>
        <w:rPr>
          <w:rtl/>
        </w:rPr>
        <w:t>גוש: 9001 חלקה: 2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31.12.23</w:t>
      </w:r>
    </w:p>
    <w:p>
      <w:pPr>
        <w:jc w:val="right"/>
        <w:bidi/>
      </w:pPr>
      <w:r>
        <w:rPr>
          <w:rtl/>
        </w:rPr>
        <w:t>תאריך עריכת השומה: 20/01/2026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הרימון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השמאי בחן נתוני שוק בסביבת הנכס.</w:t>
      </w:r>
    </w:p>
    <w:p>
      <w:pPr>
        <w:jc w:val="right"/>
        <w:bidi/>
      </w:pPr>
      <w:r>
        <w:rPr>
          <w:rtl/>
        </w:rPr>
        <w:t>ביקור בנכס נערך ב-05.07.24 בנוכחות בעל הנכס.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הרימון 2 עיר-סינתטית דפוס dp two digit year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