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2C6A61"/>
          <w:sz w:val="56"/>
          <w:szCs w:val="56"/>
        </w:rPr>
        <w:t xml:space="preserve">Cyra Health</w:t>
      </w:r>
    </w:p>
    <w:p>
      <w:pPr>
        <w:spacing w:after="400"/>
        <w:jc w:val="center"/>
      </w:pPr>
      <w:r>
        <w:rPr>
          <w:color w:val="4E625B"/>
          <w:sz w:val="26"/>
          <w:szCs w:val="26"/>
        </w:rPr>
        <w:t xml:space="preserve">Privacy Policy · Terms of Service · Research Participation</w:t>
      </w:r>
    </w:p>
    <w:p>
      <w:pPr>
        <w:spacing w:after="100"/>
        <w:jc w:val="center"/>
      </w:pPr>
      <w:r>
        <w:rPr>
          <w:b/>
          <w:bCs/>
          <w:color w:val="9A3B3B"/>
          <w:sz w:val="24"/>
          <w:szCs w:val="24"/>
        </w:rPr>
        <w:t xml:space="preserve">DRAFT FOR LEGAL REVIEW — NOT YET EFFECTIVE</w:t>
      </w:r>
    </w:p>
    <w:p>
      <w:pPr>
        <w:spacing w:after="1400"/>
        <w:jc w:val="center"/>
      </w:pPr>
      <w:r>
        <w:rPr>
          <w:color w:val="4E625B"/>
          <w:sz w:val="22"/>
          <w:szCs w:val="22"/>
        </w:rPr>
        <w:t xml:space="preserve">Version 0.1 · Generated July 24, 2026</w:t>
      </w:r>
    </w:p>
    <w:p>
      <w:pPr>
        <w:pBdr>
          <w:top w:val="single" w:color="9A3B3B" w:sz="8"/>
          <w:bottom w:val="single" w:color="9A3B3B" w:sz="8"/>
          <w:left w:val="single" w:color="9A3B3B" w:sz="8"/>
          <w:right w:val="single" w:color="9A3B3B" w:sz="8"/>
        </w:pBdr>
        <w:shd w:fill="FBECEC" w:val="clear"/>
        <w:spacing w:after="120" w:before="120" w:line="276"/>
      </w:pPr>
      <w:r>
        <w:rPr>
          <w:b/>
          <w:bCs/>
          <w:color w:val="7A2B2B"/>
        </w:rPr>
        <w:t xml:space="preserve">IMPORTANT — READ FIRST: This is an AI-generated first draft prepared to accelerate and reduce the cost of legal review. It is not legal advice and is not a substitute for a licensed attorney. Cyra must not publish or rely on these documents until a qualified privacy attorney has reviewed, corrected, and localized them, and until every factual statement (especially about where data is stored, how it is secured, and what is shared) has been verified against Cyra's actual systems. Statements in a privacy policy that do not match real practices are themselves a violation of the FTC Act and state law.</w:t>
      </w:r>
    </w:p>
    <w:p>
      <w:pPr>
        <w:pageBreakBefore/>
      </w:pPr>
      <w:r>
        <w:t xml:space="preserve"/>
      </w:r>
    </w:p>
    <w:p>
      <w:pPr>
        <w:pStyle w:val="Heading1"/>
        <w:spacing w:after="140" w:before="320"/>
      </w:pPr>
      <w:r>
        <w:rPr>
          <w:b/>
          <w:bCs/>
          <w:color w:val="2C6A61"/>
        </w:rPr>
        <w:t xml:space="preserve">About These Documents</w:t>
      </w:r>
    </w:p>
    <w:p>
      <w:pPr>
        <w:spacing w:after="120" w:line="276"/>
      </w:pPr>
      <w:r>
        <w:t xml:space="preserve">These documents are written for Cyra Health ("Cyra," "we," "us"), a direct-to-consumer women's health and cycle-tracking application available in the United States. They are drafted California-first, meaning they are built to satisfy the California Consumer Privacy Act as amended by the California Privacy Rights Act ("CCPA/CPRA"), and they also incorporate the heightened requirements of the Washington My Health My Data Act ("MHMDA") and comparable state consumer-health-data laws, because those set the most demanding standard for the reproductive- and hormonal-health data Cyra handles.</w:t>
      </w:r>
    </w:p>
    <w:p>
      <w:pPr>
        <w:pBdr>
          <w:left w:val="single" w:color="2C6A61" w:sz="18" w:space="10"/>
        </w:pBdr>
        <w:shd w:fill="EAF1EE" w:val="clear"/>
        <w:spacing w:after="140" w:line="270"/>
      </w:pPr>
      <w:r>
        <w:rPr>
          <w:i/>
          <w:iCs/>
          <w:color w:val="2B3B34"/>
        </w:rPr>
        <w:t xml:space="preserve">Cyra is a consumer wellness app, not a HIPAA covered entity or business associate. HIPAA does not currently govern Cyra. The laws that do govern Cyra are the FTC Act, the FTC Health Breach Notification Rule, the CCPA/CPRA, the Washington MHMDA, and other state consumer-health-data and privacy laws. If Cyra later integrates with clinical providers or health plans in a way that makes it a business associate, a separate HIPAA compliance program and Business Associate Agreements will be required, and these documents must be revised.</w:t>
      </w:r>
    </w:p>
    <w:p>
      <w:pPr>
        <w:spacing w:after="120" w:line="276"/>
      </w:pPr>
      <w:r>
        <w:rPr>
          <w:i/>
          <w:iCs/>
          <w:color w:val="9A3B3B"/>
        </w:rPr>
        <w:t xml:space="preserve">Bracketed placeholders like [Company legal name], [contact email], [effective date], and [DPO / privacy contact] must be completed before use.</w:t>
      </w:r>
    </w:p>
    <w:p>
      <w:pPr>
        <w:pageBreakBefore/>
      </w:pPr>
      <w:r>
        <w:t xml:space="preserve"/>
      </w:r>
    </w:p>
    <w:p>
      <w:pPr>
        <w:pStyle w:val="Title"/>
        <w:spacing w:after="80"/>
      </w:pPr>
      <w:r>
        <w:rPr>
          <w:b/>
          <w:bCs/>
          <w:color w:val="2C6A61"/>
          <w:sz w:val="40"/>
          <w:szCs w:val="40"/>
        </w:rPr>
        <w:t xml:space="preserve">Cyra Health Privacy Policy</w:t>
      </w:r>
    </w:p>
    <w:p>
      <w:pPr>
        <w:spacing w:after="120" w:line="276"/>
      </w:pPr>
      <w:r>
        <w:rPr>
          <w:i/>
          <w:iCs/>
          <w:color w:val="4E625B"/>
        </w:rPr>
        <w:t xml:space="preserve">Effective date: [effective date]. Last updated: [date].</w:t>
      </w:r>
    </w:p>
    <w:p>
      <w:pPr>
        <w:pStyle w:val="Heading1"/>
        <w:spacing w:after="140" w:before="320"/>
      </w:pPr>
      <w:r>
        <w:rPr>
          <w:b/>
          <w:bCs/>
          <w:color w:val="2C6A61"/>
        </w:rPr>
        <w:t xml:space="preserve">1. Our Privacy Commitments in Plain Language</w:t>
      </w:r>
    </w:p>
    <w:p>
      <w:pPr>
        <w:spacing w:after="120" w:line="276"/>
      </w:pPr>
      <w:r>
        <w:t xml:space="preserve">Before the legal detail, here is the short version — and every statement below is legally binding on us:</w:t>
      </w:r>
    </w:p>
    <w:p>
      <w:pPr>
        <w:pStyle w:val="ListParagraph"/>
        <w:numPr>
          <w:ilvl w:val="0"/>
          <w:numId w:val="2"/>
        </w:numPr>
        <w:spacing w:after="70" w:line="270"/>
      </w:pPr>
      <w:r>
        <w:t xml:space="preserve">Your health data is stored on your device. Our servers do not receive your raw health entries.</w:t>
      </w:r>
    </w:p>
    <w:p>
      <w:pPr>
        <w:pStyle w:val="ListParagraph"/>
        <w:numPr>
          <w:ilvl w:val="0"/>
          <w:numId w:val="2"/>
        </w:numPr>
        <w:spacing w:after="70" w:line="270"/>
      </w:pPr>
      <w:r>
        <w:t xml:space="preserve">We do not sell your personal information, and we do not share it for cross-context behavioral advertising.</w:t>
      </w:r>
    </w:p>
    <w:p>
      <w:pPr>
        <w:pStyle w:val="ListParagraph"/>
        <w:numPr>
          <w:ilvl w:val="0"/>
          <w:numId w:val="2"/>
        </w:numPr>
        <w:spacing w:after="70" w:line="270"/>
      </w:pPr>
      <w:r>
        <w:t xml:space="preserve">We do not share your identified health data with product or clinical partners. When you tap through to a partner, they receive only an anonymous referral token — never your name, contact details, or health record.</w:t>
      </w:r>
    </w:p>
    <w:p>
      <w:pPr>
        <w:pStyle w:val="ListParagraph"/>
        <w:numPr>
          <w:ilvl w:val="0"/>
          <w:numId w:val="2"/>
        </w:numPr>
        <w:spacing w:after="70" w:line="270"/>
      </w:pPr>
      <w:r>
        <w:t xml:space="preserve">We use your data for research only if you separately and explicitly opt in, and only in aggregate, de-identified form.</w:t>
      </w:r>
    </w:p>
    <w:p>
      <w:pPr>
        <w:pStyle w:val="ListParagraph"/>
        <w:numPr>
          <w:ilvl w:val="0"/>
          <w:numId w:val="2"/>
        </w:numPr>
        <w:spacing w:after="70" w:line="270"/>
      </w:pPr>
      <w:r>
        <w:t xml:space="preserve">You can access, correct, download, or permanently delete your data at any time, and you can use the app in Anonymous Mode.</w:t>
      </w:r>
    </w:p>
    <w:p>
      <w:pPr>
        <w:pBdr>
          <w:left w:val="single" w:color="2C6A61" w:sz="18" w:space="10"/>
        </w:pBdr>
        <w:shd w:fill="EAF1EE" w:val="clear"/>
        <w:spacing w:after="140" w:line="270"/>
      </w:pPr>
      <w:r>
        <w:rPr>
          <w:i/>
          <w:iCs/>
          <w:color w:val="2B3B34"/>
        </w:rPr>
        <w:t xml:space="preserve">Consistency requirement for counsel and engineering: Cyra stores your health data on your device. Cyra's servers do not receive your raw health entries. If you enable backup, your data is uploaded only as an encrypted blob that Cyra cannot read, because the decryption key stays on your device. Every user-facing 'on-device' and 'we can't see your data' statement must remain literally true of the production system; if that ever changes, this policy and the app copy must change first.</w:t>
      </w:r>
    </w:p>
    <w:p>
      <w:pPr>
        <w:pStyle w:val="Heading1"/>
        <w:spacing w:after="140" w:before="320"/>
      </w:pPr>
      <w:r>
        <w:rPr>
          <w:b/>
          <w:bCs/>
          <w:color w:val="2C6A61"/>
        </w:rPr>
        <w:t xml:space="preserve">2. Who We Are</w:t>
      </w:r>
    </w:p>
    <w:p>
      <w:pPr>
        <w:spacing w:after="120" w:line="276"/>
      </w:pPr>
      <w:r>
        <w:t xml:space="preserve">[Company legal name], operating the Cyra Health application, is the business responsible for your personal information. You can reach our privacy team at [contact email] or [mailing address].</w:t>
      </w:r>
    </w:p>
    <w:p>
      <w:pPr>
        <w:pStyle w:val="Heading1"/>
        <w:spacing w:after="140" w:before="320"/>
      </w:pPr>
      <w:r>
        <w:rPr>
          <w:b/>
          <w:bCs/>
          <w:color w:val="2C6A61"/>
        </w:rPr>
        <w:t xml:space="preserve">3. Information We Collect</w:t>
      </w:r>
    </w:p>
    <w:p>
      <w:pPr>
        <w:pStyle w:val="Heading2"/>
        <w:spacing w:after="90" w:before="220"/>
      </w:pPr>
      <w:r>
        <w:rPr>
          <w:b/>
          <w:bCs/>
        </w:rPr>
        <w:t xml:space="preserve">3.1 Information you provide</w:t>
      </w:r>
    </w:p>
    <w:p>
      <w:pPr>
        <w:pStyle w:val="ListParagraph"/>
        <w:numPr>
          <w:ilvl w:val="0"/>
          <w:numId w:val="2"/>
        </w:numPr>
        <w:spacing w:after="70" w:line="270"/>
      </w:pPr>
      <w:r>
        <w:t xml:space="preserve">Account information: optional first name, email address, and password. You may instead use Anonymous Mode, in which we do not collect your name or email.</w:t>
      </w:r>
    </w:p>
    <w:p>
      <w:pPr>
        <w:pStyle w:val="ListParagraph"/>
        <w:numPr>
          <w:ilvl w:val="0"/>
          <w:numId w:val="2"/>
        </w:numPr>
        <w:spacing w:after="70" w:line="270"/>
      </w:pPr>
      <w:r>
        <w:t xml:space="preserve">Approximate location: ZIP or postal code, used to surface local care options and regional averages. We do not collect your street address.</w:t>
      </w:r>
    </w:p>
    <w:p>
      <w:pPr>
        <w:pStyle w:val="ListParagraph"/>
        <w:numPr>
          <w:ilvl w:val="0"/>
          <w:numId w:val="2"/>
        </w:numPr>
        <w:spacing w:after="70" w:line="270"/>
      </w:pPr>
      <w:r>
        <w:t xml:space="preserve">Health and wellness information you enter: life stage; menstrual-cycle data; symptoms; reproductive history such as pregnancies, births, and contraception; general health conditions and family-history categories; medications (yes/no/decline); sleep, mood, pain, fatigue, and related self-ratings; and free-text you add. This information is stored on your device. It is 'consumer health data' under state law and receives heightened protection. Our servers do not receive it in identifiable form.</w:t>
      </w:r>
    </w:p>
    <w:p>
      <w:pPr>
        <w:pStyle w:val="ListParagraph"/>
        <w:numPr>
          <w:ilvl w:val="0"/>
          <w:numId w:val="2"/>
        </w:numPr>
        <w:spacing w:after="70" w:line="270"/>
      </w:pPr>
      <w:r>
        <w:t xml:space="preserve">Preferences and consents: your notification choices and your research-participation choice.</w:t>
      </w:r>
    </w:p>
    <w:p>
      <w:pPr>
        <w:pStyle w:val="Heading2"/>
        <w:spacing w:after="90" w:before="220"/>
      </w:pPr>
      <w:r>
        <w:rPr>
          <w:b/>
          <w:bCs/>
        </w:rPr>
        <w:t xml:space="preserve">3.2 Information collected automatically</w:t>
      </w:r>
    </w:p>
    <w:p>
      <w:pPr>
        <w:pStyle w:val="ListParagraph"/>
        <w:numPr>
          <w:ilvl w:val="0"/>
          <w:numId w:val="2"/>
        </w:numPr>
        <w:spacing w:after="70" w:line="270"/>
      </w:pPr>
      <w:r>
        <w:t xml:space="preserve">Device and app information: device type, operating-system version, app version, and crash and performance diagnostics.</w:t>
      </w:r>
    </w:p>
    <w:p>
      <w:pPr>
        <w:pStyle w:val="ListParagraph"/>
        <w:numPr>
          <w:ilvl w:val="0"/>
          <w:numId w:val="2"/>
        </w:numPr>
        <w:spacing w:after="70" w:line="270"/>
      </w:pPr>
      <w:r>
        <w:t xml:space="preserve">Usage information: features used and general interaction patterns, used to operate and improve the app.</w:t>
      </w:r>
    </w:p>
    <w:p>
      <w:pPr>
        <w:spacing w:after="120" w:line="276"/>
      </w:pPr>
      <w:r>
        <w:rPr>
          <w:b/>
          <w:bCs/>
        </w:rPr>
        <w:t xml:space="preserve">We do not use third-party advertising trackers or advertising SDKs in the app.</w:t>
      </w:r>
    </w:p>
    <w:p>
      <w:pPr>
        <w:pStyle w:val="Heading2"/>
        <w:spacing w:after="90" w:before="220"/>
      </w:pPr>
      <w:r>
        <w:rPr>
          <w:b/>
          <w:bCs/>
        </w:rPr>
        <w:t xml:space="preserve">3.3 Information we do NOT collect</w:t>
      </w:r>
    </w:p>
    <w:p>
      <w:pPr>
        <w:spacing w:after="120" w:line="276"/>
      </w:pPr>
      <w:r>
        <w:t xml:space="preserve">By deliberate design, Cyra does not collect your Social Security number, government identification, insurance or policy numbers, payment card numbers (any purchases are handled by partners or a third-party payment processor at checkout, not by Cyra), or medical records from providers. Collecting such identifiers alongside health data is precisely what Cyra avoids.</w:t>
      </w:r>
    </w:p>
    <w:p>
      <w:pPr>
        <w:pStyle w:val="Heading1"/>
        <w:spacing w:after="140" w:before="320"/>
      </w:pPr>
      <w:r>
        <w:rPr>
          <w:b/>
          <w:bCs/>
          <w:color w:val="2C6A61"/>
        </w:rPr>
        <w:t xml:space="preserve">4. How We Use Your Information</w:t>
      </w:r>
    </w:p>
    <w:p>
      <w:pPr>
        <w:pStyle w:val="ListParagraph"/>
        <w:numPr>
          <w:ilvl w:val="0"/>
          <w:numId w:val="2"/>
        </w:numPr>
        <w:spacing w:after="70" w:line="270"/>
      </w:pPr>
      <w:r>
        <w:t xml:space="preserve">To provide the app: generate your patterns, predictions, insights, calendars, and reports.</w:t>
      </w:r>
    </w:p>
    <w:p>
      <w:pPr>
        <w:pStyle w:val="ListParagraph"/>
        <w:numPr>
          <w:ilvl w:val="0"/>
          <w:numId w:val="2"/>
        </w:numPr>
        <w:spacing w:after="70" w:line="270"/>
      </w:pPr>
      <w:r>
        <w:t xml:space="preserve">To personalize your experience to your life stage and history.</w:t>
      </w:r>
    </w:p>
    <w:p>
      <w:pPr>
        <w:pStyle w:val="ListParagraph"/>
        <w:numPr>
          <w:ilvl w:val="0"/>
          <w:numId w:val="2"/>
        </w:numPr>
        <w:spacing w:after="70" w:line="270"/>
      </w:pPr>
      <w:r>
        <w:t xml:space="preserve">To send you the notifications and emails you have chosen (see Section 8).</w:t>
      </w:r>
    </w:p>
    <w:p>
      <w:pPr>
        <w:pStyle w:val="ListParagraph"/>
        <w:numPr>
          <w:ilvl w:val="0"/>
          <w:numId w:val="2"/>
        </w:numPr>
        <w:spacing w:after="70" w:line="270"/>
      </w:pPr>
      <w:r>
        <w:t xml:space="preserve">To maintain security, prevent fraud and abuse, and debug and improve the service.</w:t>
      </w:r>
    </w:p>
    <w:p>
      <w:pPr>
        <w:pStyle w:val="ListParagraph"/>
        <w:numPr>
          <w:ilvl w:val="0"/>
          <w:numId w:val="2"/>
        </w:numPr>
        <w:spacing w:after="70" w:line="270"/>
      </w:pPr>
      <w:r>
        <w:t xml:space="preserve">To comply with legal obligations.</w:t>
      </w:r>
    </w:p>
    <w:p>
      <w:pPr>
        <w:pStyle w:val="ListParagraph"/>
        <w:numPr>
          <w:ilvl w:val="0"/>
          <w:numId w:val="2"/>
        </w:numPr>
        <w:spacing w:after="70" w:line="270"/>
      </w:pPr>
      <w:r>
        <w:t xml:space="preserve">For research, only if you opt in, and only as described in the Research Participation section and in aggregate, de-identified form.</w:t>
      </w:r>
    </w:p>
    <w:p>
      <w:pPr>
        <w:spacing w:after="120" w:line="276"/>
      </w:pPr>
      <w:r>
        <w:rPr>
          <w:b/>
          <w:bCs/>
        </w:rPr>
        <w:t xml:space="preserve">We do not use your personal information to train advertising profiles, and we do not make solely automated decisions that produce legal or similarly significant effects about you.</w:t>
      </w:r>
    </w:p>
    <w:p>
      <w:pPr>
        <w:pStyle w:val="Heading1"/>
        <w:spacing w:after="140" w:before="320"/>
      </w:pPr>
      <w:r>
        <w:rPr>
          <w:b/>
          <w:bCs/>
          <w:color w:val="2C6A61"/>
        </w:rPr>
        <w:t xml:space="preserve">5. Where Your Data Lives (On-Device Architecture)</w:t>
      </w:r>
    </w:p>
    <w:p>
      <w:pPr>
        <w:spacing w:after="120" w:line="276"/>
      </w:pPr>
      <w:r>
        <w:t xml:space="preserve">Cyra is built so that your health data stays on your device:</w:t>
      </w:r>
    </w:p>
    <w:p>
      <w:pPr>
        <w:pStyle w:val="ListParagraph"/>
        <w:numPr>
          <w:ilvl w:val="0"/>
          <w:numId w:val="2"/>
        </w:numPr>
        <w:spacing w:after="70" w:line="270"/>
      </w:pPr>
      <w:r>
        <w:t xml:space="preserve">Local storage: your cycle, symptom, and health entries are stored in the app on your device.</w:t>
      </w:r>
    </w:p>
    <w:p>
      <w:pPr>
        <w:pStyle w:val="ListParagraph"/>
        <w:numPr>
          <w:ilvl w:val="0"/>
          <w:numId w:val="2"/>
        </w:numPr>
        <w:spacing w:after="70" w:line="270"/>
      </w:pPr>
      <w:r>
        <w:t xml:space="preserve">On-device processing: your patterns, predictions, insights, and product matches are computed on your device. Your raw health data is not sent to our servers to do this.</w:t>
      </w:r>
    </w:p>
    <w:p>
      <w:pPr>
        <w:pStyle w:val="ListParagraph"/>
        <w:numPr>
          <w:ilvl w:val="0"/>
          <w:numId w:val="2"/>
        </w:numPr>
        <w:spacing w:after="70" w:line="270"/>
      </w:pPr>
      <w:r>
        <w:t xml:space="preserve">Optional encrypted backup: if you turn on backup, your data is uploaded only as an encrypted file that we cannot read. The key that unlocks it stays on your device. This lets you restore your history on a new device without giving us access to its contents. [Confirm the exact backup/key model with engineering before publishing.]</w:t>
      </w:r>
    </w:p>
    <w:p>
      <w:pPr>
        <w:pStyle w:val="ListParagraph"/>
        <w:numPr>
          <w:ilvl w:val="0"/>
          <w:numId w:val="2"/>
        </w:numPr>
        <w:spacing w:after="70" w:line="270"/>
      </w:pPr>
      <w:r>
        <w:t xml:space="preserve">What our servers do receive: account basics (such as email, unless you use Anonymous Mode), app diagnostics, and — only if you tap through to a partner — an anonymous referral token. None of these include your raw health entries.</w:t>
      </w:r>
    </w:p>
    <w:p>
      <w:pPr>
        <w:pBdr>
          <w:left w:val="single" w:color="2C6A61" w:sz="18" w:space="10"/>
        </w:pBdr>
        <w:shd w:fill="EAF1EE" w:val="clear"/>
        <w:spacing w:after="140" w:line="270"/>
      </w:pPr>
      <w:r>
        <w:rPr>
          <w:i/>
          <w:iCs/>
          <w:color w:val="2B3B34"/>
        </w:rPr>
        <w:t xml:space="preserve">If Cyra ever changes to store readable health data on its servers, this section and all 'on-device' claims in the app must be updated first, and affected users notified and asked for any consent the law requires.</w:t>
      </w:r>
    </w:p>
    <w:p>
      <w:pPr>
        <w:pStyle w:val="Heading1"/>
        <w:spacing w:after="140" w:before="320"/>
      </w:pPr>
      <w:r>
        <w:rPr>
          <w:b/>
          <w:bCs/>
          <w:color w:val="2C6A61"/>
        </w:rPr>
        <w:t xml:space="preserve">6. How We Share Information — and How We Do Not</w:t>
      </w:r>
    </w:p>
    <w:p>
      <w:pPr>
        <w:spacing w:after="120" w:line="276"/>
      </w:pPr>
      <w:r>
        <w:t xml:space="preserve">We do not sell your personal information, and we do not "share" it for cross-context behavioral advertising, as those terms are defined under the CCPA/CPRA. We disclose information only as follows:</w:t>
      </w:r>
    </w:p>
    <w:p>
      <w:pPr>
        <w:pStyle w:val="ListParagraph"/>
        <w:numPr>
          <w:ilvl w:val="0"/>
          <w:numId w:val="2"/>
        </w:numPr>
        <w:spacing w:after="70" w:line="270"/>
      </w:pPr>
      <w:r>
        <w:t xml:space="preserve">Service providers / processors: vendors who host our servers, send our emails and notifications, and provide security and analytics, bound by contract to use the data only to perform services for us.</w:t>
      </w:r>
    </w:p>
    <w:p>
      <w:pPr>
        <w:pStyle w:val="ListParagraph"/>
        <w:numPr>
          <w:ilvl w:val="0"/>
          <w:numId w:val="2"/>
        </w:numPr>
        <w:spacing w:after="70" w:line="270"/>
      </w:pPr>
      <w:r>
        <w:t xml:space="preserve">Partner referrals (no identity shared): when you choose to visit or book with a partner (for example a telehealth clinic or a product brand), we pass only an anonymous referral token so we can be credited for the referral. The partner does not receive your name, contact information, or health data from us. If you then transact with that partner, any information you give them is governed by their privacy policy, not ours.</w:t>
      </w:r>
    </w:p>
    <w:p>
      <w:pPr>
        <w:pStyle w:val="ListParagraph"/>
        <w:numPr>
          <w:ilvl w:val="0"/>
          <w:numId w:val="2"/>
        </w:numPr>
        <w:spacing w:after="70" w:line="270"/>
      </w:pPr>
      <w:r>
        <w:t xml:space="preserve">Aggregate, de-identified research: only with your opt-in, and only in a form that does not identify you (see the Research section).</w:t>
      </w:r>
    </w:p>
    <w:p>
      <w:pPr>
        <w:pStyle w:val="ListParagraph"/>
        <w:numPr>
          <w:ilvl w:val="0"/>
          <w:numId w:val="2"/>
        </w:numPr>
        <w:spacing w:after="70" w:line="270"/>
      </w:pPr>
      <w:r>
        <w:t xml:space="preserve">Legal and safety: when required by valid legal process or to protect rights, safety, and security. If you use Anonymous Mode, we cannot associate the app data with your identity.</w:t>
      </w:r>
    </w:p>
    <w:p>
      <w:pPr>
        <w:pStyle w:val="ListParagraph"/>
        <w:numPr>
          <w:ilvl w:val="0"/>
          <w:numId w:val="2"/>
        </w:numPr>
        <w:spacing w:after="70" w:line="270"/>
      </w:pPr>
      <w:r>
        <w:t xml:space="preserve">Business transfers: in a merger or acquisition, subject to this policy and to any additional consent the law requires for consumer health data.</w:t>
      </w:r>
    </w:p>
    <w:p>
      <w:pPr>
        <w:pStyle w:val="Heading1"/>
        <w:spacing w:after="140" w:before="320"/>
      </w:pPr>
      <w:r>
        <w:rPr>
          <w:b/>
          <w:bCs/>
          <w:color w:val="2C6A61"/>
        </w:rPr>
        <w:t xml:space="preserve">7. Your California Privacy Rights (CCPA/CPRA)</w:t>
      </w:r>
    </w:p>
    <w:p>
      <w:pPr>
        <w:spacing w:after="120" w:line="276"/>
      </w:pPr>
      <w:r>
        <w:t xml:space="preserve">If you are a California resident, you have the right to:</w:t>
      </w:r>
    </w:p>
    <w:p>
      <w:pPr>
        <w:pStyle w:val="ListParagraph"/>
        <w:numPr>
          <w:ilvl w:val="0"/>
          <w:numId w:val="2"/>
        </w:numPr>
        <w:spacing w:after="70" w:line="270"/>
      </w:pPr>
      <w:r>
        <w:t xml:space="preserve">Know and access the personal information we have collected about you.</w:t>
      </w:r>
    </w:p>
    <w:p>
      <w:pPr>
        <w:pStyle w:val="ListParagraph"/>
        <w:numPr>
          <w:ilvl w:val="0"/>
          <w:numId w:val="2"/>
        </w:numPr>
        <w:spacing w:after="70" w:line="270"/>
      </w:pPr>
      <w:r>
        <w:t xml:space="preserve">Correct inaccurate personal information.</w:t>
      </w:r>
    </w:p>
    <w:p>
      <w:pPr>
        <w:pStyle w:val="ListParagraph"/>
        <w:numPr>
          <w:ilvl w:val="0"/>
          <w:numId w:val="2"/>
        </w:numPr>
        <w:spacing w:after="70" w:line="270"/>
      </w:pPr>
      <w:r>
        <w:t xml:space="preserve">Delete your personal information.</w:t>
      </w:r>
    </w:p>
    <w:p>
      <w:pPr>
        <w:pStyle w:val="ListParagraph"/>
        <w:numPr>
          <w:ilvl w:val="0"/>
          <w:numId w:val="2"/>
        </w:numPr>
        <w:spacing w:after="70" w:line="270"/>
      </w:pPr>
      <w:r>
        <w:t xml:space="preserve">Data portability — obtain a copy of your data in a portable format.</w:t>
      </w:r>
    </w:p>
    <w:p>
      <w:pPr>
        <w:pStyle w:val="ListParagraph"/>
        <w:numPr>
          <w:ilvl w:val="0"/>
          <w:numId w:val="2"/>
        </w:numPr>
        <w:spacing w:after="70" w:line="270"/>
      </w:pPr>
      <w:r>
        <w:t xml:space="preserve">Limit the use of sensitive personal information to what is necessary to provide the service; Cyra already limits itself to this.</w:t>
      </w:r>
    </w:p>
    <w:p>
      <w:pPr>
        <w:pStyle w:val="ListParagraph"/>
        <w:numPr>
          <w:ilvl w:val="0"/>
          <w:numId w:val="2"/>
        </w:numPr>
        <w:spacing w:after="70" w:line="270"/>
      </w:pPr>
      <w:r>
        <w:t xml:space="preserve">Opt out of sale or sharing — although Cyra does not sell or share personal information for cross-context behavioral advertising, so there is nothing to opt out of.</w:t>
      </w:r>
    </w:p>
    <w:p>
      <w:pPr>
        <w:pStyle w:val="ListParagraph"/>
        <w:numPr>
          <w:ilvl w:val="0"/>
          <w:numId w:val="2"/>
        </w:numPr>
        <w:spacing w:after="70" w:line="270"/>
      </w:pPr>
      <w:r>
        <w:t xml:space="preserve">Non-discrimination for exercising your rights.</w:t>
      </w:r>
    </w:p>
    <w:p>
      <w:pPr>
        <w:spacing w:after="120" w:line="276"/>
      </w:pPr>
      <w:r>
        <w:t xml:space="preserve">Your reproductive- and hormonal-health data is "sensitive personal information" under the CPRA, and we process it only to provide the service and for purposes you have authorized. To exercise any right, contact [privacy request email/link]. We will verify your request and respond within the timelines the law requires. You may use an authorized agent.</w:t>
      </w:r>
    </w:p>
    <w:p>
      <w:pPr>
        <w:pStyle w:val="Heading1"/>
        <w:spacing w:after="140" w:before="320"/>
      </w:pPr>
      <w:r>
        <w:rPr>
          <w:b/>
          <w:bCs/>
          <w:color w:val="2C6A61"/>
        </w:rPr>
        <w:t xml:space="preserve">8. Washington My Health My Data Act and Other State Health-Data Laws</w:t>
      </w:r>
    </w:p>
    <w:p>
      <w:pPr>
        <w:spacing w:after="120" w:line="276"/>
      </w:pPr>
      <w:r>
        <w:t xml:space="preserve">For consumer health data, we provide these heightened protections:</w:t>
      </w:r>
    </w:p>
    <w:p>
      <w:pPr>
        <w:pStyle w:val="ListParagraph"/>
        <w:numPr>
          <w:ilvl w:val="0"/>
          <w:numId w:val="2"/>
        </w:numPr>
        <w:spacing w:after="70" w:line="270"/>
      </w:pPr>
      <w:r>
        <w:t xml:space="preserve">We collect and use consumer health data only with your consent or as necessary to provide a product you requested.</w:t>
      </w:r>
    </w:p>
    <w:p>
      <w:pPr>
        <w:pStyle w:val="ListParagraph"/>
        <w:numPr>
          <w:ilvl w:val="0"/>
          <w:numId w:val="2"/>
        </w:numPr>
        <w:spacing w:after="70" w:line="270"/>
      </w:pPr>
      <w:r>
        <w:t xml:space="preserve">We do not sell consumer health data. We will not do so without the separate, valid written authorization the law requires — and our commitment is not to sell it at all.</w:t>
      </w:r>
    </w:p>
    <w:p>
      <w:pPr>
        <w:pStyle w:val="ListParagraph"/>
        <w:numPr>
          <w:ilvl w:val="0"/>
          <w:numId w:val="2"/>
        </w:numPr>
        <w:spacing w:after="70" w:line="270"/>
      </w:pPr>
      <w:r>
        <w:t xml:space="preserve">You may withdraw consent, and you may request that we delete your consumer health data, including directing us to require our service providers to delete it.</w:t>
      </w:r>
    </w:p>
    <w:p>
      <w:pPr>
        <w:pStyle w:val="ListParagraph"/>
        <w:numPr>
          <w:ilvl w:val="0"/>
          <w:numId w:val="2"/>
        </w:numPr>
        <w:spacing w:after="70" w:line="270"/>
      </w:pPr>
      <w:r>
        <w:t xml:space="preserve">We restrict internal access to consumer health data to personnel who need it to provide or improve the service.</w:t>
      </w:r>
    </w:p>
    <w:p>
      <w:pPr>
        <w:spacing w:after="120" w:line="276"/>
      </w:pPr>
      <w:r>
        <w:t xml:space="preserve">Washington residents may exercise these rights, including the private right of action available under the MHMDA, by contacting [privacy request email/link].</w:t>
      </w:r>
    </w:p>
    <w:p>
      <w:pPr>
        <w:pStyle w:val="Heading1"/>
        <w:spacing w:after="140" w:before="320"/>
      </w:pPr>
      <w:r>
        <w:rPr>
          <w:b/>
          <w:bCs/>
          <w:color w:val="2C6A61"/>
        </w:rPr>
        <w:t xml:space="preserve">9. Notifications and Communications</w:t>
      </w:r>
    </w:p>
    <w:p>
      <w:pPr>
        <w:spacing w:after="120" w:line="276"/>
      </w:pPr>
      <w:r>
        <w:t xml:space="preserve">Cyra sends reminders and insights through free device push notifications and, if you opt in, email. Cyra does not send SMS/text messages and does not collect your phone number for messaging. You control notifications in your device settings and in the app, and you can unsubscribe from emails at any time via the link in each email.</w:t>
      </w:r>
    </w:p>
    <w:p>
      <w:pPr>
        <w:pStyle w:val="Heading1"/>
        <w:spacing w:after="140" w:before="320"/>
      </w:pPr>
      <w:r>
        <w:rPr>
          <w:b/>
          <w:bCs/>
          <w:color w:val="2C6A61"/>
        </w:rPr>
        <w:t xml:space="preserve">10. Data Security</w:t>
      </w:r>
    </w:p>
    <w:p>
      <w:pPr>
        <w:spacing w:after="120" w:line="276"/>
      </w:pPr>
      <w:r>
        <w:t xml:space="preserve">Because your health data is stored on your device, the primary protection is your device's own security (passcode, biometrics, OS encryption) — please keep your device secured and updated. For the limited data we do handle (such as account information and any encrypted backup), we use encryption in transit and at rest, access controls and least-privilege access, and monitoring. Optional backups are encrypted so that we cannot read their contents. [Confirm and describe actual measures — hosting provider, encryption standards, key management, penetration-testing cadence — before publishing.] No method of storage or transmission is perfectly secure, and we cannot guarantee absolute security.</w:t>
      </w:r>
    </w:p>
    <w:p>
      <w:pPr>
        <w:spacing w:after="120" w:line="276"/>
      </w:pPr>
      <w:r>
        <w:t xml:space="preserve">If a breach of your unsecured health data occurs, we will notify affected users and regulators as required by the FTC Health Breach Notification Rule and applicable state breach-notification laws.</w:t>
      </w:r>
    </w:p>
    <w:p>
      <w:pPr>
        <w:pStyle w:val="Heading1"/>
        <w:spacing w:after="140" w:before="320"/>
      </w:pPr>
      <w:r>
        <w:rPr>
          <w:b/>
          <w:bCs/>
          <w:color w:val="2C6A61"/>
        </w:rPr>
        <w:t xml:space="preserve">11. Data Retention and Deletion</w:t>
      </w:r>
    </w:p>
    <w:p>
      <w:pPr>
        <w:spacing w:after="120" w:line="276"/>
      </w:pPr>
      <w:r>
        <w:t xml:space="preserve">Your on-device health data remains until you delete it or remove the app; deleting it in the app removes it from your device, and clears any encrypted backup you enabled. Account information we hold is kept while your account is active and deleted on request, subject to limited retention required by law or security. Because we do not hold your raw health data, most deletion happens on your device instantly.</w:t>
      </w:r>
    </w:p>
    <w:p>
      <w:pPr>
        <w:pStyle w:val="Heading1"/>
        <w:spacing w:after="140" w:before="320"/>
      </w:pPr>
      <w:r>
        <w:rPr>
          <w:b/>
          <w:bCs/>
          <w:color w:val="2C6A61"/>
        </w:rPr>
        <w:t xml:space="preserve">12. Children's Privacy</w:t>
      </w:r>
    </w:p>
    <w:p>
      <w:pPr>
        <w:spacing w:after="120" w:line="276"/>
      </w:pPr>
      <w:r>
        <w:t xml:space="preserve">Cyra is not directed to children under 13, and we do not knowingly collect personal information from them. Some tracking features may be used by teens; where a user is under the age of majority in their state, we apply the additional protections required by law and do not sell or share their personal information. [Confirm minimum-age gate and teen-handling with counsel — reproductive-health data about minors is especially sensitive.]</w:t>
      </w:r>
    </w:p>
    <w:p>
      <w:pPr>
        <w:pStyle w:val="Heading1"/>
        <w:spacing w:after="140" w:before="320"/>
      </w:pPr>
      <w:r>
        <w:rPr>
          <w:b/>
          <w:bCs/>
          <w:color w:val="2C6A61"/>
        </w:rPr>
        <w:t xml:space="preserve">13. Changes to This Policy</w:t>
      </w:r>
    </w:p>
    <w:p>
      <w:pPr>
        <w:spacing w:after="120" w:line="276"/>
      </w:pPr>
      <w:r>
        <w:t xml:space="preserve">We will post any changes here, update the "last updated" date, and, for material changes affecting health data, provide prominent notice and obtain consent where required before the change takes effect.</w:t>
      </w:r>
    </w:p>
    <w:p>
      <w:pPr>
        <w:pStyle w:val="Heading1"/>
        <w:spacing w:after="140" w:before="320"/>
      </w:pPr>
      <w:r>
        <w:rPr>
          <w:b/>
          <w:bCs/>
          <w:color w:val="2C6A61"/>
        </w:rPr>
        <w:t xml:space="preserve">14. Contact Us</w:t>
      </w:r>
    </w:p>
    <w:p>
      <w:pPr>
        <w:spacing w:after="120" w:line="276"/>
      </w:pPr>
      <w:r>
        <w:t xml:space="preserve">[Company legal name] · [mailing address] · [contact email] · [privacy request link].</w:t>
      </w:r>
    </w:p>
    <w:p>
      <w:pPr>
        <w:pageBreakBefore/>
      </w:pPr>
      <w:r>
        <w:t xml:space="preserve"/>
      </w:r>
    </w:p>
    <w:p>
      <w:pPr>
        <w:pStyle w:val="Title"/>
        <w:spacing w:after="80"/>
      </w:pPr>
      <w:r>
        <w:rPr>
          <w:b/>
          <w:bCs/>
          <w:color w:val="2C6A61"/>
          <w:sz w:val="40"/>
          <w:szCs w:val="40"/>
        </w:rPr>
        <w:t xml:space="preserve">Cyra Health Terms of Service</w:t>
      </w:r>
    </w:p>
    <w:p>
      <w:pPr>
        <w:spacing w:after="120" w:line="276"/>
      </w:pPr>
      <w:r>
        <w:rPr>
          <w:i/>
          <w:iCs/>
          <w:color w:val="4E625B"/>
        </w:rPr>
        <w:t xml:space="preserve">Effective date: [effective date].</w:t>
      </w:r>
    </w:p>
    <w:p>
      <w:pPr>
        <w:pStyle w:val="Heading1"/>
        <w:spacing w:after="140" w:before="320"/>
      </w:pPr>
      <w:r>
        <w:rPr>
          <w:b/>
          <w:bCs/>
          <w:color w:val="2C6A61"/>
        </w:rPr>
        <w:t xml:space="preserve">1. Agreement to Terms</w:t>
      </w:r>
    </w:p>
    <w:p>
      <w:pPr>
        <w:spacing w:after="120" w:line="276"/>
      </w:pPr>
      <w:r>
        <w:t xml:space="preserve">These Terms of Service ("Terms") govern your use of the Cyra Health application and related services (the "Service") provided by [Company legal name]. By creating an account or using the Service, you agree to these Terms and to our Privacy Policy. If you do not agree, do not use the Service.</w:t>
      </w:r>
    </w:p>
    <w:p>
      <w:pPr>
        <w:pStyle w:val="Heading1"/>
        <w:spacing w:after="140" w:before="320"/>
      </w:pPr>
      <w:r>
        <w:rPr>
          <w:b/>
          <w:bCs/>
          <w:color w:val="2C6A61"/>
        </w:rPr>
        <w:t xml:space="preserve">2. Medical Disclaimer — Please Read</w:t>
      </w:r>
    </w:p>
    <w:p>
      <w:pPr>
        <w:spacing w:after="120" w:line="276"/>
      </w:pPr>
      <w:r>
        <w:rPr>
          <w:b/>
          <w:bCs/>
        </w:rPr>
        <w:t xml:space="preserve">Cyra provides educational and informational content and self-tracking tools. Cyra is not a medical device, does not provide medical advice, diagnosis, or treatment, and is not a substitute for professional medical care.</w:t>
      </w:r>
    </w:p>
    <w:p>
      <w:pPr>
        <w:pStyle w:val="ListParagraph"/>
        <w:numPr>
          <w:ilvl w:val="0"/>
          <w:numId w:val="2"/>
        </w:numPr>
        <w:spacing w:after="70" w:line="270"/>
      </w:pPr>
      <w:r>
        <w:t xml:space="preserve">Insights, patterns, and predictions are estimates based on the data you enter and may be inaccurate. They are not clinical findings.</w:t>
      </w:r>
    </w:p>
    <w:p>
      <w:pPr>
        <w:pStyle w:val="ListParagraph"/>
        <w:numPr>
          <w:ilvl w:val="0"/>
          <w:numId w:val="2"/>
        </w:numPr>
        <w:spacing w:after="70" w:line="270"/>
      </w:pPr>
      <w:r>
        <w:t xml:space="preserve">Cyra's cycle and fertility predictions must not be relied on for contraception or to guarantee conception.</w:t>
      </w:r>
    </w:p>
    <w:p>
      <w:pPr>
        <w:pStyle w:val="ListParagraph"/>
        <w:numPr>
          <w:ilvl w:val="0"/>
          <w:numId w:val="2"/>
        </w:numPr>
        <w:spacing w:after="70" w:line="270"/>
      </w:pPr>
      <w:r>
        <w:t xml:space="preserve">Always seek the advice of a qualified health provider with questions about a medical condition. Never disregard or delay professional advice because of something in the app.</w:t>
      </w:r>
    </w:p>
    <w:p>
      <w:pPr>
        <w:pStyle w:val="ListParagraph"/>
        <w:numPr>
          <w:ilvl w:val="0"/>
          <w:numId w:val="2"/>
        </w:numPr>
        <w:spacing w:after="70" w:line="270"/>
      </w:pPr>
      <w:r>
        <w:t xml:space="preserve">If you think you may have a medical emergency, call your doctor or emergency services immediately.</w:t>
      </w:r>
    </w:p>
    <w:p>
      <w:pPr>
        <w:pStyle w:val="Heading1"/>
        <w:spacing w:after="140" w:before="320"/>
      </w:pPr>
      <w:r>
        <w:rPr>
          <w:b/>
          <w:bCs/>
          <w:color w:val="2C6A61"/>
        </w:rPr>
        <w:t xml:space="preserve">3. Eligibility and Accounts</w:t>
      </w:r>
    </w:p>
    <w:p>
      <w:pPr>
        <w:spacing w:after="120" w:line="276"/>
      </w:pPr>
      <w:r>
        <w:t xml:space="preserve">You must be at least 13 years old (or the minimum age required in your jurisdiction) to use the Service. You are responsible for your account credentials and for activity under your account. Anonymous Mode is available and does not require a name or email.</w:t>
      </w:r>
    </w:p>
    <w:p>
      <w:pPr>
        <w:pStyle w:val="Heading1"/>
        <w:spacing w:after="140" w:before="320"/>
      </w:pPr>
      <w:r>
        <w:rPr>
          <w:b/>
          <w:bCs/>
          <w:color w:val="2C6A61"/>
        </w:rPr>
        <w:t xml:space="preserve">4. Acceptable Use</w:t>
      </w:r>
    </w:p>
    <w:p>
      <w:pPr>
        <w:spacing w:after="120" w:line="276"/>
      </w:pPr>
      <w:r>
        <w:t xml:space="preserve">You agree not to misuse the Service, including by attempting to breach security, reverse-engineer the app, scrape or harvest data, or use the Service unlawfully or to harm others.</w:t>
      </w:r>
    </w:p>
    <w:p>
      <w:pPr>
        <w:pStyle w:val="Heading1"/>
        <w:spacing w:after="140" w:before="320"/>
      </w:pPr>
      <w:r>
        <w:rPr>
          <w:b/>
          <w:bCs/>
          <w:color w:val="2C6A61"/>
        </w:rPr>
        <w:t xml:space="preserve">5. Purchases and Partner Offers</w:t>
      </w:r>
    </w:p>
    <w:p>
      <w:pPr>
        <w:spacing w:after="120" w:line="276"/>
      </w:pPr>
      <w:r>
        <w:t xml:space="preserve">The Service may show offers from third-party partners (for example telehealth clinics or product brands) and may earn a referral fee or commission when you engage with them. Cyra does not sell those products or provide that clinical care. Any purchase or care relationship is solely between you and the partner and is governed by the partner's terms and privacy policy. Cyra is not responsible for partner products, services, or care.</w:t>
      </w:r>
    </w:p>
    <w:p>
      <w:pPr>
        <w:pStyle w:val="Heading1"/>
        <w:spacing w:after="140" w:before="320"/>
      </w:pPr>
      <w:r>
        <w:rPr>
          <w:b/>
          <w:bCs/>
          <w:color w:val="2C6A61"/>
        </w:rPr>
        <w:t xml:space="preserve">6. Subscriptions and Billing</w:t>
      </w:r>
    </w:p>
    <w:p>
      <w:pPr>
        <w:spacing w:after="120" w:line="276"/>
      </w:pPr>
      <w:r>
        <w:t xml:space="preserve">[If and when Cyra offers paid subscriptions, describe pricing, billing cycle, auto-renewal, cancellation, and refund terms here, consistent with app-store rules and applicable auto-renewal laws such as California's. Remove this section if the Service is free at launch.]</w:t>
      </w:r>
    </w:p>
    <w:p>
      <w:pPr>
        <w:pStyle w:val="Heading1"/>
        <w:spacing w:after="140" w:before="320"/>
      </w:pPr>
      <w:r>
        <w:rPr>
          <w:b/>
          <w:bCs/>
          <w:color w:val="2C6A61"/>
        </w:rPr>
        <w:t xml:space="preserve">7. Intellectual Property</w:t>
      </w:r>
    </w:p>
    <w:p>
      <w:pPr>
        <w:spacing w:after="120" w:line="276"/>
      </w:pPr>
      <w:r>
        <w:t xml:space="preserve">The Service, including its software, design, and content, is owned by [Company legal name] and its licensors and is protected by law. You receive a limited, non-exclusive, non-transferable license to use the Service for personal, non-commercial purposes. You retain ownership of the data you enter.</w:t>
      </w:r>
    </w:p>
    <w:p>
      <w:pPr>
        <w:pStyle w:val="Heading1"/>
        <w:spacing w:after="140" w:before="320"/>
      </w:pPr>
      <w:r>
        <w:rPr>
          <w:b/>
          <w:bCs/>
          <w:color w:val="2C6A61"/>
        </w:rPr>
        <w:t xml:space="preserve">8. Disclaimers and Limitation of Liability</w:t>
      </w:r>
    </w:p>
    <w:p>
      <w:pPr>
        <w:spacing w:after="120" w:line="276"/>
      </w:pPr>
      <w:r>
        <w:t xml:space="preserve">The Service is provided "as is" and "as available" without warranties of any kind, to the fullest extent permitted by law. To the fullest extent permitted by law, [Company legal name] will not be liable for indirect, incidental, special, consequential, or punitive damages, or for any loss arising from your reliance on the Service. [Confirm liability cap and carve-outs with counsel; some limits are unenforceable in some states.]</w:t>
      </w:r>
    </w:p>
    <w:p>
      <w:pPr>
        <w:pStyle w:val="Heading1"/>
        <w:spacing w:after="140" w:before="320"/>
      </w:pPr>
      <w:r>
        <w:rPr>
          <w:b/>
          <w:bCs/>
          <w:color w:val="2C6A61"/>
        </w:rPr>
        <w:t xml:space="preserve">9. Indemnification</w:t>
      </w:r>
    </w:p>
    <w:p>
      <w:pPr>
        <w:spacing w:after="120" w:line="276"/>
      </w:pPr>
      <w:r>
        <w:t xml:space="preserve">You agree to indemnify [Company legal name] against claims arising from your misuse of the Service or violation of these Terms, to the extent permitted by law.</w:t>
      </w:r>
    </w:p>
    <w:p>
      <w:pPr>
        <w:pStyle w:val="Heading1"/>
        <w:spacing w:after="140" w:before="320"/>
      </w:pPr>
      <w:r>
        <w:rPr>
          <w:b/>
          <w:bCs/>
          <w:color w:val="2C6A61"/>
        </w:rPr>
        <w:t xml:space="preserve">10. Dispute Resolution and Governing Law</w:t>
      </w:r>
    </w:p>
    <w:p>
      <w:pPr>
        <w:spacing w:after="120" w:line="276"/>
      </w:pPr>
      <w:r>
        <w:t xml:space="preserve">These Terms are governed by the laws of the State of [state], without regard to conflict-of-laws rules. [Insert dispute-resolution mechanism — e.g., arbitration and class-action-waiver clauses if desired — for attorney drafting. Arbitration clauses have specific enforceability and disclosure requirements and must be lawyer-reviewed.]</w:t>
      </w:r>
    </w:p>
    <w:p>
      <w:pPr>
        <w:pStyle w:val="Heading1"/>
        <w:spacing w:after="140" w:before="320"/>
      </w:pPr>
      <w:r>
        <w:rPr>
          <w:b/>
          <w:bCs/>
          <w:color w:val="2C6A61"/>
        </w:rPr>
        <w:t xml:space="preserve">11. Termination</w:t>
      </w:r>
    </w:p>
    <w:p>
      <w:pPr>
        <w:spacing w:after="120" w:line="276"/>
      </w:pPr>
      <w:r>
        <w:t xml:space="preserve">You may stop using the Service and delete your account at any time. We may suspend or terminate access for violations of these Terms or as needed to protect the Service or its users.</w:t>
      </w:r>
    </w:p>
    <w:p>
      <w:pPr>
        <w:pStyle w:val="Heading1"/>
        <w:spacing w:after="140" w:before="320"/>
      </w:pPr>
      <w:r>
        <w:rPr>
          <w:b/>
          <w:bCs/>
          <w:color w:val="2C6A61"/>
        </w:rPr>
        <w:t xml:space="preserve">12. Changes to These Terms</w:t>
      </w:r>
    </w:p>
    <w:p>
      <w:pPr>
        <w:spacing w:after="120" w:line="276"/>
      </w:pPr>
      <w:r>
        <w:t xml:space="preserve">We may update these Terms and will post the updated version with a new effective date; material changes will be notified in advance where required.</w:t>
      </w:r>
    </w:p>
    <w:p>
      <w:pPr>
        <w:pStyle w:val="Heading1"/>
        <w:spacing w:after="140" w:before="320"/>
      </w:pPr>
      <w:r>
        <w:rPr>
          <w:b/>
          <w:bCs/>
          <w:color w:val="2C6A61"/>
        </w:rPr>
        <w:t xml:space="preserve">13. Contact</w:t>
      </w:r>
    </w:p>
    <w:p>
      <w:pPr>
        <w:spacing w:after="120" w:line="276"/>
      </w:pPr>
      <w:r>
        <w:t xml:space="preserve">[Company legal name] · [contact email] · [mailing address].</w:t>
      </w:r>
    </w:p>
    <w:p>
      <w:pPr>
        <w:pageBreakBefore/>
      </w:pPr>
      <w:r>
        <w:t xml:space="preserve"/>
      </w:r>
    </w:p>
    <w:p>
      <w:pPr>
        <w:pStyle w:val="Title"/>
        <w:spacing w:after="80"/>
      </w:pPr>
      <w:r>
        <w:rPr>
          <w:b/>
          <w:bCs/>
          <w:color w:val="2C6A61"/>
          <w:sz w:val="40"/>
          <w:szCs w:val="40"/>
        </w:rPr>
        <w:t xml:space="preserve">Research Participation &amp; Consent</w:t>
      </w:r>
    </w:p>
    <w:p>
      <w:pPr>
        <w:spacing w:after="120" w:line="276"/>
      </w:pPr>
      <w:r>
        <w:rPr>
          <w:i/>
          <w:iCs/>
          <w:color w:val="4E625B"/>
        </w:rPr>
        <w:t xml:space="preserve">This describes Cyra's optional research program. Participation is voluntary, is off by default, and never affects your access to the app.</w:t>
      </w:r>
    </w:p>
    <w:p>
      <w:pPr>
        <w:pStyle w:val="Heading1"/>
        <w:spacing w:after="140" w:before="320"/>
      </w:pPr>
      <w:r>
        <w:rPr>
          <w:b/>
          <w:bCs/>
          <w:color w:val="2C6A61"/>
        </w:rPr>
        <w:t xml:space="preserve">1. Our Research Principles</w:t>
      </w:r>
    </w:p>
    <w:p>
      <w:pPr>
        <w:pStyle w:val="ListParagraph"/>
        <w:numPr>
          <w:ilvl w:val="0"/>
          <w:numId w:val="2"/>
        </w:numPr>
        <w:spacing w:after="70" w:line="270"/>
      </w:pPr>
      <w:r>
        <w:t xml:space="preserve">Opt-in only: we use your data for research solely if you affirmatively choose to participate. It is off unless you turn it on.</w:t>
      </w:r>
    </w:p>
    <w:p>
      <w:pPr>
        <w:pStyle w:val="ListParagraph"/>
        <w:numPr>
          <w:ilvl w:val="0"/>
          <w:numId w:val="2"/>
        </w:numPr>
        <w:spacing w:after="70" w:line="270"/>
      </w:pPr>
      <w:r>
        <w:t xml:space="preserve">Per-study consent: you consent to specific, described research purposes — not a blanket, open-ended grant.</w:t>
      </w:r>
    </w:p>
    <w:p>
      <w:pPr>
        <w:pStyle w:val="ListParagraph"/>
        <w:numPr>
          <w:ilvl w:val="0"/>
          <w:numId w:val="2"/>
        </w:numPr>
        <w:spacing w:after="70" w:line="270"/>
      </w:pPr>
      <w:r>
        <w:t xml:space="preserve">Aggregate and de-identified: research uses combined, de-identified data. We apply recognized de-identification methods so outputs do not identify you.</w:t>
      </w:r>
    </w:p>
    <w:p>
      <w:pPr>
        <w:pStyle w:val="ListParagraph"/>
        <w:numPr>
          <w:ilvl w:val="0"/>
          <w:numId w:val="2"/>
        </w:numPr>
        <w:spacing w:after="70" w:line="270"/>
      </w:pPr>
      <w:r>
        <w:t xml:space="preserve">No sale of identified data: we never sell your identified health information. This program is not a workaround for that commitment.</w:t>
      </w:r>
    </w:p>
    <w:p>
      <w:pPr>
        <w:pStyle w:val="ListParagraph"/>
        <w:numPr>
          <w:ilvl w:val="0"/>
          <w:numId w:val="2"/>
        </w:numPr>
        <w:spacing w:after="70" w:line="270"/>
      </w:pPr>
      <w:r>
        <w:t xml:space="preserve">Withdraw anytime: you can withdraw future participation at any time; this stops further use of your data in new research, though it cannot recall analyses already completed or results already published.</w:t>
      </w:r>
    </w:p>
    <w:p>
      <w:pPr>
        <w:pStyle w:val="ListParagraph"/>
        <w:numPr>
          <w:ilvl w:val="0"/>
          <w:numId w:val="2"/>
        </w:numPr>
        <w:spacing w:after="70" w:line="270"/>
      </w:pPr>
      <w:r>
        <w:t xml:space="preserve">Benefit to women's health: we pursue research intended to improve care and understanding of women's health across life stages.</w:t>
      </w:r>
    </w:p>
    <w:p>
      <w:pPr>
        <w:pStyle w:val="Heading1"/>
        <w:spacing w:after="140" w:before="320"/>
      </w:pPr>
      <w:r>
        <w:rPr>
          <w:b/>
          <w:bCs/>
          <w:color w:val="2C6A61"/>
        </w:rPr>
        <w:t xml:space="preserve">2. What Participating Means</w:t>
      </w:r>
    </w:p>
    <w:p>
      <w:pPr>
        <w:spacing w:after="120" w:line="276"/>
      </w:pPr>
      <w:r>
        <w:t xml:space="preserve">If you opt in, de-identified information derived from your entries (for example, symptom frequencies, cycle characteristics, and life-stage cohort) may be combined with data from other consenting users and analyzed by Cyra or by vetted research partners such as academic or clinical institutions. Where a specific study or partner is involved, we will describe it so you can make an informed choice.</w:t>
      </w:r>
    </w:p>
    <w:p>
      <w:pPr>
        <w:pStyle w:val="Heading1"/>
        <w:spacing w:after="140" w:before="320"/>
      </w:pPr>
      <w:r>
        <w:rPr>
          <w:b/>
          <w:bCs/>
          <w:color w:val="2C6A61"/>
        </w:rPr>
        <w:t xml:space="preserve">3. De-identification and Safeguards</w:t>
      </w:r>
    </w:p>
    <w:p>
      <w:pPr>
        <w:spacing w:after="120" w:line="276"/>
      </w:pPr>
      <w:r>
        <w:t xml:space="preserve">Before data is used for research, direct identifiers are removed and recognized de-identification techniques are applied to reduce re-identification risk. Research partners are bound by contract to not attempt to re-identify participants and to use the data only for the described purpose. [Describe de-identification standard and governance — e.g., expert-determination or a defined method, and any ethics/IRB review — with counsel and a privacy engineer.]</w:t>
      </w:r>
    </w:p>
    <w:p>
      <w:pPr>
        <w:pStyle w:val="Heading1"/>
        <w:spacing w:after="140" w:before="320"/>
      </w:pPr>
      <w:r>
        <w:rPr>
          <w:b/>
          <w:bCs/>
          <w:color w:val="2C6A61"/>
        </w:rPr>
        <w:t xml:space="preserve">4. Your Choices</w:t>
      </w:r>
    </w:p>
    <w:p>
      <w:pPr>
        <w:pStyle w:val="ListParagraph"/>
        <w:numPr>
          <w:ilvl w:val="0"/>
          <w:numId w:val="2"/>
        </w:numPr>
        <w:spacing w:after="70" w:line="270"/>
      </w:pPr>
      <w:r>
        <w:t xml:space="preserve">Turn participation on or off at any time in Settings.</w:t>
      </w:r>
    </w:p>
    <w:p>
      <w:pPr>
        <w:pStyle w:val="ListParagraph"/>
        <w:numPr>
          <w:ilvl w:val="0"/>
          <w:numId w:val="2"/>
        </w:numPr>
        <w:spacing w:after="70" w:line="270"/>
      </w:pPr>
      <w:r>
        <w:t xml:space="preserve">Ask what categories of data are used and see plain-language summaries of what the research found.</w:t>
      </w:r>
    </w:p>
    <w:p>
      <w:pPr>
        <w:pStyle w:val="ListParagraph"/>
        <w:numPr>
          <w:ilvl w:val="0"/>
          <w:numId w:val="2"/>
        </w:numPr>
        <w:spacing w:after="70" w:line="270"/>
      </w:pPr>
      <w:r>
        <w:t xml:space="preserve">Exercise all of your privacy rights (access, correction, deletion) with respect to your underlying data as described in the Privacy Policy.</w:t>
      </w:r>
    </w:p>
    <w:p>
      <w:pPr>
        <w:pStyle w:val="Heading1"/>
        <w:spacing w:after="140" w:before="320"/>
      </w:pPr>
      <w:r>
        <w:rPr>
          <w:b/>
          <w:bCs/>
          <w:color w:val="2C6A61"/>
        </w:rPr>
        <w:t xml:space="preserve">5. No Medical Care or Individual Results</w:t>
      </w:r>
    </w:p>
    <w:p>
      <w:pPr>
        <w:spacing w:after="120" w:line="276"/>
      </w:pPr>
      <w:r>
        <w:t xml:space="preserve">Research participation is not medical care and does not provide you with individual medical results or diagnoses. Nothing here changes the Medical Disclaimer in the Terms of Service.</w:t>
      </w:r>
    </w:p>
    <w:p>
      <w:pPr>
        <w:pStyle w:val="Heading1"/>
        <w:spacing w:after="140" w:before="320"/>
      </w:pPr>
      <w:r>
        <w:rPr>
          <w:b/>
          <w:bCs/>
          <w:color w:val="2C6A61"/>
        </w:rPr>
        <w:t xml:space="preserve">6. Contact</w:t>
      </w:r>
    </w:p>
    <w:p>
      <w:pPr>
        <w:spacing w:after="120" w:line="276"/>
      </w:pPr>
      <w:r>
        <w:t xml:space="preserve">Questions about the research program: [research contact email].</w:t>
      </w:r>
    </w:p>
    <w:p>
      <w:pPr>
        <w:pageBreakBefore/>
      </w:pPr>
      <w:r>
        <w:t xml:space="preserve"/>
      </w:r>
    </w:p>
    <w:p>
      <w:pPr>
        <w:pStyle w:val="Heading1"/>
        <w:spacing w:after="140" w:before="320"/>
      </w:pPr>
      <w:r>
        <w:rPr>
          <w:b/>
          <w:bCs/>
          <w:color w:val="2C6A61"/>
        </w:rPr>
        <w:t xml:space="preserve">Reviewer Checklist Before Publishing</w:t>
      </w:r>
    </w:p>
    <w:p>
      <w:pPr>
        <w:spacing w:after="120" w:line="276"/>
      </w:pPr>
      <w:r>
        <w:t xml:space="preserve">Hand this document to a licensed privacy attorney and confirm each item:</w:t>
      </w:r>
    </w:p>
    <w:p>
      <w:pPr>
        <w:pStyle w:val="ListParagraph"/>
        <w:numPr>
          <w:ilvl w:val="0"/>
          <w:numId w:val="2"/>
        </w:numPr>
        <w:spacing w:after="70" w:line="270"/>
      </w:pPr>
      <w:r>
        <w:t xml:space="preserve">Every factual statement about data storage, security, encryption, and sharing matches Cyra's actual production systems.</w:t>
      </w:r>
    </w:p>
    <w:p>
      <w:pPr>
        <w:pStyle w:val="ListParagraph"/>
        <w:numPr>
          <w:ilvl w:val="0"/>
          <w:numId w:val="2"/>
        </w:numPr>
        <w:spacing w:after="70" w:line="270"/>
      </w:pPr>
      <w:r>
        <w:t xml:space="preserve">Every 'on-device' and 'we can't see your data' claim in the app is literally true of the shipped build, including the encrypted-backup key model.</w:t>
      </w:r>
    </w:p>
    <w:p>
      <w:pPr>
        <w:pStyle w:val="ListParagraph"/>
        <w:numPr>
          <w:ilvl w:val="0"/>
          <w:numId w:val="2"/>
        </w:numPr>
        <w:spacing w:after="70" w:line="270"/>
      </w:pPr>
      <w:r>
        <w:t xml:space="preserve">CCPA/CPRA request intake, verification, and response timelines are operationally in place.</w:t>
      </w:r>
    </w:p>
    <w:p>
      <w:pPr>
        <w:pStyle w:val="ListParagraph"/>
        <w:numPr>
          <w:ilvl w:val="0"/>
          <w:numId w:val="2"/>
        </w:numPr>
        <w:spacing w:after="70" w:line="270"/>
      </w:pPr>
      <w:r>
        <w:t xml:space="preserve">Washington MHMDA consent and the required Consumer Health Data Privacy Policy obligations are fully met.</w:t>
      </w:r>
    </w:p>
    <w:p>
      <w:pPr>
        <w:pStyle w:val="ListParagraph"/>
        <w:numPr>
          <w:ilvl w:val="0"/>
          <w:numId w:val="2"/>
        </w:numPr>
        <w:spacing w:after="70" w:line="270"/>
      </w:pPr>
      <w:r>
        <w:t xml:space="preserve">FTC Health Breach Notification Rule response plan exists and is tested.</w:t>
      </w:r>
    </w:p>
    <w:p>
      <w:pPr>
        <w:pStyle w:val="ListParagraph"/>
        <w:numPr>
          <w:ilvl w:val="0"/>
          <w:numId w:val="2"/>
        </w:numPr>
        <w:spacing w:after="70" w:line="270"/>
      </w:pPr>
      <w:r>
        <w:t xml:space="preserve">Minimum-age gate and handling of teen users is confirmed and lawful.</w:t>
      </w:r>
    </w:p>
    <w:p>
      <w:pPr>
        <w:pStyle w:val="ListParagraph"/>
        <w:numPr>
          <w:ilvl w:val="0"/>
          <w:numId w:val="2"/>
        </w:numPr>
        <w:spacing w:after="70" w:line="270"/>
      </w:pPr>
      <w:r>
        <w:t xml:space="preserve">De-identification standard for the research program is defined, documented, and defensible.</w:t>
      </w:r>
    </w:p>
    <w:p>
      <w:pPr>
        <w:pStyle w:val="ListParagraph"/>
        <w:numPr>
          <w:ilvl w:val="0"/>
          <w:numId w:val="2"/>
        </w:numPr>
        <w:spacing w:after="70" w:line="270"/>
      </w:pPr>
      <w:r>
        <w:t xml:space="preserve">Arbitration/dispute, liability caps, and subscription/auto-renewal terms are attorney-drafted.</w:t>
      </w:r>
    </w:p>
    <w:p>
      <w:pPr>
        <w:pStyle w:val="ListParagraph"/>
        <w:numPr>
          <w:ilvl w:val="0"/>
          <w:numId w:val="2"/>
        </w:numPr>
        <w:spacing w:after="70" w:line="270"/>
      </w:pPr>
      <w:r>
        <w:t xml:space="preserve">All bracketed placeholders are completed.</w:t>
      </w:r>
    </w:p>
    <w:p>
      <w:pPr>
        <w:pStyle w:val="ListParagraph"/>
        <w:numPr>
          <w:ilvl w:val="0"/>
          <w:numId w:val="2"/>
        </w:numPr>
        <w:spacing w:after="70" w:line="270"/>
      </w:pPr>
      <w:r>
        <w:t xml:space="preserve">If any clinical-provider or health-plan integration is added, reassess HIPAA business-associate status and add BAAs.</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6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2026-07-24T21:11:42.280Z</dcterms:created>
  <dcterms:modified xsi:type="dcterms:W3CDTF">2026-07-24T21:11:42.281Z</dcterms:modified>
</cp:coreProperties>
</file>

<file path=docProps/custom.xml><?xml version="1.0" encoding="utf-8"?>
<Properties xmlns="http://schemas.openxmlformats.org/officeDocument/2006/custom-properties" xmlns:vt="http://schemas.openxmlformats.org/officeDocument/2006/docPropsVTypes"/>
</file>