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26"/>
          <w:szCs w:val="26"/>
        </w:rPr>
        <w:t xml:space="preserve">UNIVERSIDAD TECNOLÓGICA DE SAN JUAN DEL RÍO</w:t>
      </w:r>
    </w:p>
    <w:p>
      <w:pPr>
        <w:spacing w:before="400"/>
        <w:jc w:val="center"/>
      </w:pPr>
      <w:r>
        <w:rPr>
          <w:rFonts w:ascii="Calibri" w:cs="Calibri" w:eastAsia="Calibri" w:hAnsi="Calibri"/>
          <w:b/>
          <w:bCs/>
          <w:color w:val="1B2A4A"/>
          <w:sz w:val="48"/>
          <w:szCs w:val="48"/>
        </w:rPr>
        <w:t xml:space="preserve">Plan DevOps del Proyecto Móvil</w:t>
      </w:r>
    </w:p>
    <w:p>
      <w:pPr>
        <w:spacing w:before="200"/>
        <w:jc w:val="center"/>
      </w:pPr>
      <w:r>
        <w:rPr>
          <w:rFonts w:ascii="Calibri" w:cs="Calibri" w:eastAsia="Calibri" w:hAnsi="Calibri"/>
          <w:color w:val="0E7C7B"/>
          <w:sz w:val="26"/>
          <w:szCs w:val="26"/>
        </w:rPr>
        <w:t xml:space="preserve">Proyecto: TechCare — Sistema Móvil de Gestión de Mantenimiento Preventivo y Trazabilidad Técnica</w:t>
      </w:r>
    </w:p>
    <w:p>
      <w:pPr>
        <w:spacing w:before="600"/>
        <w:jc w:val="center"/>
      </w:pPr>
      <w:r>
        <w:rPr>
          <w:rFonts w:ascii="Calibri" w:cs="Calibri" w:eastAsia="Calibri" w:hAnsi="Calibri"/>
          <w:i/>
          <w:iCs/>
          <w:sz w:val="24"/>
          <w:szCs w:val="24"/>
        </w:rPr>
        <w:t xml:space="preserve">Práctica DevOps</w:t>
      </w:r>
    </w:p>
    <w:p>
      <w:pPr>
        <w:spacing w:before="1200"/>
        <w:jc w:val="center"/>
      </w:pPr>
      <w:r>
        <w:rPr>
          <w:rFonts w:ascii="Calibri" w:cs="Calibri" w:eastAsia="Calibri" w:hAnsi="Calibri"/>
          <w:sz w:val="22"/>
          <w:szCs w:val="22"/>
        </w:rPr>
        <w:t xml:space="preserve">Materia: Desarrollo Móvil Integral</w:t>
      </w:r>
    </w:p>
    <w:p>
      <w:pPr>
        <w:jc w:val="center"/>
      </w:pPr>
      <w:r>
        <w:rPr>
          <w:rFonts w:ascii="Calibri" w:cs="Calibri" w:eastAsia="Calibri" w:hAnsi="Calibri"/>
          <w:sz w:val="22"/>
          <w:szCs w:val="22"/>
        </w:rPr>
        <w:t xml:space="preserve">Carrera: Ingeniería en Desarrollo y Gestión de Software</w:t>
      </w:r>
    </w:p>
    <w:p>
      <w:pPr>
        <w:jc w:val="center"/>
      </w:pPr>
      <w:r>
        <w:rPr>
          <w:rFonts w:ascii="Calibri" w:cs="Calibri" w:eastAsia="Calibri" w:hAnsi="Calibri"/>
          <w:sz w:val="22"/>
          <w:szCs w:val="22"/>
        </w:rPr>
        <w:t xml:space="preserve">Grado y grupo: Décimo Cuatrimestre — DS03SV-25</w:t>
      </w:r>
    </w:p>
    <w:p>
      <w:pPr>
        <w:spacing w:before="600"/>
        <w:jc w:val="center"/>
      </w:pPr>
      <w:r>
        <w:rPr>
          <w:rFonts w:ascii="Calibri" w:cs="Calibri" w:eastAsia="Calibri" w:hAnsi="Calibri"/>
          <w:b/>
          <w:bCs/>
          <w:sz w:val="22"/>
          <w:szCs w:val="22"/>
        </w:rPr>
        <w:t xml:space="preserve">Equipo:</w:t>
      </w:r>
    </w:p>
    <w:p>
      <w:pPr>
        <w:jc w:val="center"/>
      </w:pPr>
      <w:r>
        <w:rPr>
          <w:rFonts w:ascii="Calibri" w:cs="Calibri" w:eastAsia="Calibri" w:hAnsi="Calibri"/>
          <w:sz w:val="22"/>
          <w:szCs w:val="22"/>
        </w:rPr>
        <w:t xml:space="preserve">Juárez Argüello Ariadna Sarahi — Product Owner</w:t>
      </w:r>
    </w:p>
    <w:p>
      <w:pPr>
        <w:jc w:val="center"/>
      </w:pPr>
      <w:r>
        <w:rPr>
          <w:rFonts w:ascii="Calibri" w:cs="Calibri" w:eastAsia="Calibri" w:hAnsi="Calibri"/>
          <w:sz w:val="22"/>
          <w:szCs w:val="22"/>
        </w:rPr>
        <w:t xml:space="preserve">López Álvarez Cinthia Jimena — Scrum Master</w:t>
      </w:r>
    </w:p>
    <w:p>
      <w:pPr>
        <w:jc w:val="center"/>
      </w:pPr>
      <w:r>
        <w:rPr>
          <w:rFonts w:ascii="Calibri" w:cs="Calibri" w:eastAsia="Calibri" w:hAnsi="Calibri"/>
          <w:sz w:val="22"/>
          <w:szCs w:val="22"/>
        </w:rPr>
        <w:t xml:space="preserve">Flores Argüello Gabriel — Developer Full Stack</w:t>
      </w:r>
    </w:p>
    <w:p>
      <w:pPr>
        <w:jc w:val="center"/>
      </w:pPr>
      <w:r>
        <w:rPr>
          <w:rFonts w:ascii="Calibri" w:cs="Calibri" w:eastAsia="Calibri" w:hAnsi="Calibri"/>
          <w:sz w:val="22"/>
          <w:szCs w:val="22"/>
        </w:rPr>
        <w:t xml:space="preserve">Alegría Alcántara Edgar Maximiliano — Development Team</w:t>
      </w:r>
    </w:p>
    <w:p>
      <w:pPr>
        <w:spacing w:before="600"/>
        <w:jc w:val="center"/>
      </w:pPr>
      <w:r>
        <w:rPr>
          <w:rFonts w:ascii="Calibri" w:cs="Calibri" w:eastAsia="Calibri" w:hAnsi="Calibri"/>
          <w:sz w:val="22"/>
          <w:szCs w:val="22"/>
        </w:rPr>
        <w:t xml:space="preserve">Profesora: Dolores Abril Sánchez Camacho</w:t>
      </w:r>
    </w:p>
    <w:p>
      <w:pPr>
        <w:spacing w:before="1200"/>
        <w:jc w:val="center"/>
      </w:pPr>
      <w:r>
        <w:rPr>
          <w:rFonts w:ascii="Calibri" w:cs="Calibri" w:eastAsia="Calibri" w:hAnsi="Calibri"/>
          <w:i/>
          <w:iCs/>
          <w:sz w:val="20"/>
          <w:szCs w:val="20"/>
        </w:rPr>
        <w:t xml:space="preserve">Septiembre 2026</w:t>
      </w:r>
    </w:p>
    <w:p>
      <w:pPr>
        <w:sectPr>
          <w:pgSz w:w="12240" w:h="15840" w:orient="portrait"/>
          <w:pgMar w:top="1440" w:right="1440" w:bottom="1440" w:left="1440" w:header="708" w:footer="708" w:gutter="0"/>
          <w:pgNumType/>
          <w:docGrid w:linePitch="360"/>
        </w:sectPr>
      </w:pPr>
    </w:p>
    <w:p>
      <w:pPr>
        <w:pStyle w:val="Heading1"/>
        <w:spacing w:after="200" w:before="360"/>
      </w:pPr>
      <w:r>
        <w:rPr>
          <w:b/>
          <w:bCs/>
          <w:color w:val="1B2A4A"/>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b/>
          <w:bCs/>
          <w:color w:val="1B2A4A"/>
        </w:rPr>
        <w:t xml:space="preserve">1. Resumen del caso y objetivos</w:t>
      </w:r>
    </w:p>
    <w:p>
      <w:pPr>
        <w:spacing w:after="160"/>
      </w:pPr>
      <w:r>
        <w:rPr>
          <w:rFonts w:ascii="Calibri" w:cs="Calibri" w:eastAsia="Calibri" w:hAnsi="Calibri"/>
          <w:sz w:val="22"/>
          <w:szCs w:val="22"/>
        </w:rPr>
        <w:t xml:space="preserve">TechCare es un sistema móvil de gestión de mantenimiento preventivo y trazabilidad técnica dirigido a técnicos y administradores de TI que dan servicio a equipos de cómputo (laptops, desktops, servidores). El problema que resuelve es la falta de un registro digital, trazable y accesible en campo del historial de mantenimientos: hoy ese seguimiento se hace de forma manual o dispersa, lo que dificulta anticipar fallas y detectar causas raíz recurrentes por subsistema (refrigeración, almacenamiento, alimentación, placa/puertos).</w:t>
      </w:r>
    </w:p>
    <w:p>
      <w:pPr>
        <w:spacing w:after="160"/>
      </w:pPr>
      <w:r>
        <w:rPr>
          <w:rFonts w:ascii="Calibri" w:cs="Calibri" w:eastAsia="Calibri" w:hAnsi="Calibri"/>
          <w:sz w:val="22"/>
          <w:szCs w:val="22"/>
        </w:rPr>
        <w:t xml:space="preserve">Los usuarios principales son técnicos de soporte, que registran y consultan equipos mediante escaneo de código QR y completan checklists de servicio con evidencia fotográfica, y administradores de TI, que dan de alta el inventario, visualizan el semáforo de vencimientos y analizan el historial de fallas. El valor esperado es reducir el tiempo de diagnóstico, anticipar mantenimientos antes de que ocurra una falla y dar visibilidad de patrones de fallas recurrentes para atacar causas subyacentes en lugar de síntomas.</w:t>
      </w:r>
    </w:p>
    <w:p>
      <w:pPr>
        <w:spacing w:after="160"/>
      </w:pPr>
      <w:r>
        <w:rPr>
          <w:rFonts w:ascii="Calibri" w:cs="Calibri" w:eastAsia="Calibri" w:hAnsi="Calibri"/>
          <w:sz w:val="22"/>
          <w:szCs w:val="22"/>
        </w:rPr>
        <w:t xml:space="preserve">Métricas de éxito (KPIs):</w:t>
      </w:r>
    </w:p>
    <w:p>
      <w:pPr>
        <w:pStyle w:val="ListParagraph"/>
        <w:numPr>
          <w:ilvl w:val="0"/>
          <w:numId w:val="1"/>
        </w:numPr>
        <w:spacing w:after="80"/>
      </w:pPr>
      <w:r>
        <w:rPr>
          <w:rFonts w:ascii="Calibri" w:cs="Calibri" w:eastAsia="Calibri" w:hAnsi="Calibri"/>
          <w:sz w:val="22"/>
          <w:szCs w:val="22"/>
        </w:rPr>
        <w:t xml:space="preserve">Reducción del tiempo de registro y consulta de un equipo (objetivo: escaneo QR a ficha técnica en menos de 3 segundos).</w:t>
      </w:r>
    </w:p>
    <w:p>
      <w:pPr>
        <w:pStyle w:val="ListParagraph"/>
        <w:numPr>
          <w:ilvl w:val="0"/>
          <w:numId w:val="1"/>
        </w:numPr>
        <w:spacing w:after="80"/>
      </w:pPr>
      <w:r>
        <w:rPr>
          <w:rFonts w:ascii="Calibri" w:cs="Calibri" w:eastAsia="Calibri" w:hAnsi="Calibri"/>
          <w:sz w:val="22"/>
          <w:szCs w:val="22"/>
        </w:rPr>
        <w:t xml:space="preserve">Porcentaje de mantenimientos realizados antes de la fecha de vencimiento (semáforo verde) vs. vencidos (semáforo rojo).</w:t>
      </w:r>
    </w:p>
    <w:p>
      <w:pPr>
        <w:pStyle w:val="ListParagraph"/>
        <w:numPr>
          <w:ilvl w:val="0"/>
          <w:numId w:val="1"/>
        </w:numPr>
        <w:spacing w:after="80"/>
      </w:pPr>
      <w:r>
        <w:rPr>
          <w:rFonts w:ascii="Calibri" w:cs="Calibri" w:eastAsia="Calibri" w:hAnsi="Calibri"/>
          <w:sz w:val="22"/>
          <w:szCs w:val="22"/>
        </w:rPr>
        <w:t xml:space="preserve">Porcentaje de equipos con 2+ fallas recurrentes por subsistema detectadas y con causa raíz documentada.</w:t>
      </w:r>
    </w:p>
    <w:p>
      <w:pPr>
        <w:pStyle w:val="Heading1"/>
        <w:spacing w:after="200" w:before="360"/>
      </w:pPr>
      <w:r>
        <w:rPr>
          <w:b/>
          <w:bCs/>
          <w:color w:val="1B2A4A"/>
        </w:rPr>
        <w:t xml:space="preserve">2. Arquitectura general (alto nivel) y dependencias</w:t>
      </w:r>
    </w:p>
    <w:p>
      <w:pPr>
        <w:spacing w:after="160"/>
      </w:pPr>
      <w:r>
        <w:rPr>
          <w:rFonts w:ascii="Calibri" w:cs="Calibri" w:eastAsia="Calibri" w:hAnsi="Calibri"/>
          <w:sz w:val="22"/>
          <w:szCs w:val="22"/>
        </w:rPr>
        <w:t xml:space="preserve">El sistema usa una arquitectura en capas / monolito modular combinada con un modelo cliente-servidor apoyado en un Backend as a Service (BaaS). El cliente móvil (capa de presentación) es una app React + Vite empaquetada con Capacitor para Android/iOS; la lógica de negocio vive organizada en módulos independientes que corresponden 1 a 1 con las historias de usuario (Auth, Equipos/QR, Checklist, Evidencias, Programación/Semáforo, Historial/Causa raíz); la capa de datos es Supabase (PostgreSQL + Auth + Storage + Edge Functions).</w:t>
      </w:r>
    </w:p>
    <w:p>
      <w:pPr>
        <w:spacing w:after="160"/>
      </w:pPr>
      <w:r>
        <w:rPr>
          <w:rFonts w:ascii="Calibri" w:cs="Calibri" w:eastAsia="Calibri" w:hAnsi="Calibri"/>
          <w:sz w:val="22"/>
          <w:szCs w:val="22"/>
        </w:rPr>
        <w:t xml:space="preserve">Dependencias principales: el cliente depende del SDK de Supabase para autenticación, lectura/escritura de datos y almacenamiento de fotografías; los módulos de Programación/Semáforo, Historial/Causa raíz y Notificaciones reaccionan al evento ordenCerrada mediante el patrón Observer (ya definido en la planeación Scrum del proyecto), implementado con Edge Functions/triggers de base de datos en Supabase. El escaneo de QR y las notificaciones dependen de plugins nativos de Capacitor sobre la cámara y el sistema de notificaciones del dispositivo.</w:t>
      </w:r>
    </w:p>
    <w:p>
      <w:pPr>
        <w:pStyle w:val="Heading1"/>
        <w:spacing w:after="200" w:before="360"/>
      </w:pPr>
      <w:r>
        <w:rPr>
          <w:b/>
          <w:bCs/>
          <w:color w:val="1B2A4A"/>
        </w:rPr>
        <w:t xml:space="preserve">3. Ciclo DevOps aplicado</w:t>
      </w:r>
    </w:p>
    <w:p>
      <w:pPr>
        <w:spacing w:after="160"/>
      </w:pPr>
      <w:r>
        <w:rPr>
          <w:rFonts w:ascii="Calibri" w:cs="Calibri" w:eastAsia="Calibri" w:hAnsi="Calibri"/>
          <w:sz w:val="22"/>
          <w:szCs w:val="22"/>
        </w:rPr>
        <w:t xml:space="preserve">El ciclo se aplica de forma continua en cada sprint semanal, siguiendo el flujo Plan → Code → Build → Test → Package → Release → Deploy → Operate → Monitor → Feedback, cerrando con la retrospectiva que alimenta el siguiente Plan.</w:t>
      </w:r>
    </w:p>
    <w:p>
      <w:pPr>
        <w:pBdr>
          <w:top w:val="single" w:color="0E7C7B" w:sz="4"/>
          <w:bottom w:val="single" w:color="0E7C7B" w:sz="4"/>
        </w:pBdr>
        <w:spacing w:after="240" w:before="120"/>
        <w:jc w:val="center"/>
      </w:pPr>
      <w:r>
        <w:rPr>
          <w:rFonts w:ascii="Calibri" w:cs="Calibri" w:eastAsia="Calibri" w:hAnsi="Calibri"/>
          <w:b/>
          <w:bCs/>
          <w:color w:val="1B2A4A"/>
          <w:sz w:val="20"/>
          <w:szCs w:val="20"/>
        </w:rPr>
        <w:t xml:space="preserve">Plan  →  Code  →  Build  →  Test  →  Package  →  Release  →  Deploy  →  Operate  →  Monitor  →  Feedback  →  (vuelve a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950"/>
        <w:gridCol w:w="2200"/>
        <w:gridCol w:w="2200"/>
        <w:gridCol w:w="2100"/>
      </w:tblGrid>
      <w:tr>
        <w:trPr>
          <w:tblHeader/>
        </w:trPr>
        <w:tc>
          <w:tcPr>
            <w:tcW w:type="dxa" w:w="90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Fase</w:t>
            </w:r>
          </w:p>
        </w:tc>
        <w:tc>
          <w:tcPr>
            <w:tcW w:type="dxa" w:w="195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Objetivo</w:t>
            </w:r>
          </w:p>
        </w:tc>
        <w:tc>
          <w:tcPr>
            <w:tcW w:type="dxa" w:w="220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Herramienta(s)</w:t>
            </w:r>
          </w:p>
        </w:tc>
        <w:tc>
          <w:tcPr>
            <w:tcW w:type="dxa" w:w="220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Artefactos/Salidas</w:t>
            </w:r>
          </w:p>
        </w:tc>
        <w:tc>
          <w:tcPr>
            <w:tcW w:type="dxa" w:w="210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Criterio de hecho</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Plan</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Priorizar y planear el trabajo del sprint</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GitHub Projects (board)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Roadmap, historias de usuario, Sprint Backlog</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Historias con criterios de aceptación (Gherkin) aprobadas por el PO</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Code</w:t>
            </w:r>
          </w:p>
        </w:tc>
        <w:tc>
          <w:tcPr>
            <w:tcW w:type="dxa" w:w="1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Desarrollar funcionalidad en ramas aisladas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VS Code, Git, GitHub, React + TypeScript</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Commits, Pull Requests</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 abierto contra develop con al menos 1 revisor asignado</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Compilar el proyecto web y sincronizar el proyecto nativo</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Vite, npm, Capacitor CLI, GitHub Actions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 de assets (dist/), proyecto nativo sincronizado</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 sin errores ni warnings críticos</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w:t>
            </w:r>
          </w:p>
        </w:tc>
        <w:tc>
          <w:tcPr>
            <w:tcW w:type="dxa" w:w="1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Validar lógica de negocio y endpoints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Jest (unitarias), Postman (API), pruebas manuales/Detox (E2E)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Reportes de cobertura y resultados de pruebas</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Cobertura ≥ 70% en módulos críticos (auth, checklist, semáforo) y 0 pruebas de aceptación en rojo</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Package</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Empaquetar la app para distribución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Android Studio / Gradle, Capacitor, Xcode (si aplica)</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APK/AAB firmado (y .ipa si aplica)</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Artefacto firmado y verificado en al menos un dispositivo/emulador</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Release</w:t>
            </w:r>
          </w:p>
        </w:tc>
        <w:tc>
          <w:tcPr>
            <w:tcW w:type="dxa" w:w="1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Etiquetar una versión estable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GitHub Releases, Conventional Commits, SemVer</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Tag v0.x.y, changelog</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Tag generado sobre main tras merge aprobado</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Deploy</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Distribuir la app a testers o tienda</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Firebase App Distribution (alfa/beta), Google Play Console (producción)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 distribuido a técnicos/profesora o publicado en tienda</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Checklist de despliegue completo (build firmado, notas de versión, testers notificados)</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Operate</w:t>
            </w:r>
          </w:p>
        </w:tc>
        <w:tc>
          <w:tcPr>
            <w:tcW w:type="dxa" w:w="1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Mantener el servicio disponible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Supabase (BaaS), Play Console vitals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Dashboards de disponibilidad</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Sin incidentes críticos abiertos al cierre del sprint</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Detectar errores y medir desempeño</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Firebase Crashlytics / Sentry, logs de Supabase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Dashboards de crashes, KPIs/SLI</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SLO semanal cumplido (ver sección de Monitoreo)</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Feedback</w:t>
            </w:r>
          </w:p>
        </w:tc>
        <w:tc>
          <w:tcPr>
            <w:tcW w:type="dxa" w:w="1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Recoger retroalimentación y ajustar backlog</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GitHub Issues, Sprint Review, encuestas a técnicos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Retrospectivas, backlog re-priorizado</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Acciones de mejora registradas como issues</w:t>
            </w:r>
          </w:p>
        </w:tc>
      </w:tr>
    </w:tbl>
    <w:p>
      <w:r>
        <w:br w:type="page"/>
      </w:r>
    </w:p>
    <w:p>
      <w:pPr>
        <w:pStyle w:val="Heading1"/>
        <w:spacing w:after="200" w:before="360"/>
      </w:pPr>
      <w:r>
        <w:rPr>
          <w:b/>
          <w:bCs/>
          <w:color w:val="1B2A4A"/>
        </w:rPr>
        <w:t xml:space="preserve">4. Versionamiento y ramificación</w:t>
      </w:r>
    </w:p>
    <w:p>
      <w:pPr>
        <w:spacing w:after="160"/>
      </w:pPr>
      <w:r>
        <w:rPr>
          <w:rFonts w:ascii="Calibri" w:cs="Calibri" w:eastAsia="Calibri" w:hAnsi="Calibri"/>
          <w:sz w:val="22"/>
          <w:szCs w:val="22"/>
        </w:rPr>
        <w:t xml:space="preserve">La estrategia completa de ramas, convención de nombres, Conventional Commits y responsabilidades de merge está definida en el documento de Planeación Scrum (Selección de Framework y Estrategia de Versionamiento, sección 4). En resumen:</w:t>
      </w:r>
    </w:p>
    <w:p>
      <w:pPr>
        <w:pStyle w:val="ListParagraph"/>
        <w:numPr>
          <w:ilvl w:val="0"/>
          <w:numId w:val="1"/>
        </w:numPr>
        <w:spacing w:after="80"/>
      </w:pPr>
      <w:r>
        <w:rPr>
          <w:rFonts w:ascii="Calibri" w:cs="Calibri" w:eastAsia="Calibri" w:hAnsi="Calibri"/>
          <w:sz w:val="22"/>
          <w:szCs w:val="22"/>
        </w:rPr>
        <w:t xml:space="preserve">main: rama estable y protegida; solo recibe cambios vía Pull Request aprobado.</w:t>
      </w:r>
    </w:p>
    <w:p>
      <w:pPr>
        <w:pStyle w:val="ListParagraph"/>
        <w:numPr>
          <w:ilvl w:val="0"/>
          <w:numId w:val="1"/>
        </w:numPr>
        <w:spacing w:after="80"/>
      </w:pPr>
      <w:r>
        <w:rPr>
          <w:rFonts w:ascii="Calibri" w:cs="Calibri" w:eastAsia="Calibri" w:hAnsi="Calibri"/>
          <w:sz w:val="22"/>
          <w:szCs w:val="22"/>
        </w:rPr>
        <w:t xml:space="preserve">develop: rama de integración de funcionalidades terminadas.</w:t>
      </w:r>
    </w:p>
    <w:p>
      <w:pPr>
        <w:pStyle w:val="ListParagraph"/>
        <w:numPr>
          <w:ilvl w:val="0"/>
          <w:numId w:val="1"/>
        </w:numPr>
        <w:spacing w:after="80"/>
      </w:pPr>
      <w:r>
        <w:rPr>
          <w:rFonts w:ascii="Calibri" w:cs="Calibri" w:eastAsia="Calibri" w:hAnsi="Calibri"/>
          <w:sz w:val="22"/>
          <w:szCs w:val="22"/>
        </w:rPr>
        <w:t xml:space="preserve">feature/, bugfix/, hotfix/: ramas de trabajo con convención tipo/nombre-corto-descriptivo.</w:t>
      </w:r>
    </w:p>
    <w:p>
      <w:pPr>
        <w:pStyle w:val="ListParagraph"/>
        <w:numPr>
          <w:ilvl w:val="0"/>
          <w:numId w:val="1"/>
        </w:numPr>
        <w:spacing w:after="80"/>
      </w:pPr>
      <w:r>
        <w:rPr>
          <w:rFonts w:ascii="Calibri" w:cs="Calibri" w:eastAsia="Calibri" w:hAnsi="Calibri"/>
          <w:sz w:val="22"/>
          <w:szCs w:val="22"/>
        </w:rPr>
        <w:t xml:space="preserve">Conventional Commits (feat:, fix:, etc.) y tagging semántico (v0.x.y) al estabilizar una versión.</w:t>
      </w:r>
    </w:p>
    <w:p>
      <w:pPr>
        <w:spacing w:after="160"/>
      </w:pPr>
      <w:r>
        <w:rPr>
          <w:rFonts w:ascii="Calibri" w:cs="Calibri" w:eastAsia="Calibri" w:hAnsi="Calibri"/>
          <w:sz w:val="22"/>
          <w:szCs w:val="22"/>
        </w:rPr>
        <w:t xml:space="preserve">Este documento añade la condición de que ningún merge a develop o main se realiza sin que el workflow de CI (sección 5) haya finalizado en verde.</w:t>
      </w:r>
    </w:p>
    <w:p>
      <w:pPr>
        <w:pStyle w:val="Heading1"/>
        <w:spacing w:after="200" w:before="360"/>
      </w:pPr>
      <w:r>
        <w:rPr>
          <w:b/>
          <w:bCs/>
          <w:color w:val="1B2A4A"/>
        </w:rPr>
        <w:t xml:space="preserve">5. CI/CD</w:t>
      </w:r>
    </w:p>
    <w:p>
      <w:pPr>
        <w:pStyle w:val="Heading2"/>
        <w:spacing w:after="160" w:before="280"/>
      </w:pPr>
      <w:r>
        <w:rPr>
          <w:b/>
          <w:bCs/>
          <w:color w:val="0E7C7B"/>
        </w:rPr>
        <w:t xml:space="preserve">¿Qué se ejecuta y cuándo?</w:t>
      </w:r>
    </w:p>
    <w:p>
      <w:pPr>
        <w:spacing w:after="160"/>
      </w:pPr>
      <w:r>
        <w:rPr>
          <w:rFonts w:ascii="Calibri" w:cs="Calibri" w:eastAsia="Calibri" w:hAnsi="Calibri"/>
          <w:sz w:val="22"/>
          <w:szCs w:val="22"/>
        </w:rPr>
        <w:t xml:space="preserve">Un workflow de GitHub Actions se dispara en cada push a develop y en cada pull_request hacia develop o main. El workflow ejecuta, en orden: instalación de dependencias (npm ci), lint, pruebas unitarias (Jest) y build de producción (vite build). El resultado se reporta como check directamente en el Pull Request.</w:t>
      </w:r>
    </w:p>
    <w:p>
      <w:pPr>
        <w:pStyle w:val="Heading2"/>
        <w:spacing w:after="160" w:before="280"/>
      </w:pPr>
      <w:r>
        <w:rPr>
          <w:b/>
          <w:bCs/>
          <w:color w:val="0E7C7B"/>
        </w:rPr>
        <w:t xml:space="preserve">Criterios para merge</w:t>
      </w:r>
    </w:p>
    <w:p>
      <w:pPr>
        <w:pStyle w:val="ListParagraph"/>
        <w:numPr>
          <w:ilvl w:val="0"/>
          <w:numId w:val="1"/>
        </w:numPr>
        <w:spacing w:after="80"/>
      </w:pPr>
      <w:r>
        <w:rPr>
          <w:rFonts w:ascii="Calibri" w:cs="Calibri" w:eastAsia="Calibri" w:hAnsi="Calibri"/>
          <w:sz w:val="22"/>
          <w:szCs w:val="22"/>
        </w:rPr>
        <w:t xml:space="preserve">Los checks de CI (lint, test, build) deben estar en verde.</w:t>
      </w:r>
    </w:p>
    <w:p>
      <w:pPr>
        <w:pStyle w:val="ListParagraph"/>
        <w:numPr>
          <w:ilvl w:val="0"/>
          <w:numId w:val="1"/>
        </w:numPr>
        <w:spacing w:after="80"/>
      </w:pPr>
      <w:r>
        <w:rPr>
          <w:rFonts w:ascii="Calibri" w:cs="Calibri" w:eastAsia="Calibri" w:hAnsi="Calibri"/>
          <w:sz w:val="22"/>
          <w:szCs w:val="22"/>
        </w:rPr>
        <w:t xml:space="preserve">Al menos 1 revisor debe aprobar el Pull Request (Gabriel revisa lógica de datos/Supabase; Edgar revisa componentes de frontend; Cinthia coordina y ejecuta el merge).</w:t>
      </w:r>
    </w:p>
    <w:p>
      <w:pPr>
        <w:pStyle w:val="ListParagraph"/>
        <w:numPr>
          <w:ilvl w:val="0"/>
          <w:numId w:val="1"/>
        </w:numPr>
        <w:spacing w:after="80"/>
      </w:pPr>
      <w:r>
        <w:rPr>
          <w:rFonts w:ascii="Calibri" w:cs="Calibri" w:eastAsia="Calibri" w:hAnsi="Calibri"/>
          <w:sz w:val="22"/>
          <w:szCs w:val="22"/>
        </w:rPr>
        <w:t xml:space="preserve">Sin conflictos pendientes con la rama base.</w:t>
      </w:r>
    </w:p>
    <w:p>
      <w:pPr>
        <w:pStyle w:val="Heading2"/>
        <w:spacing w:after="160" w:before="280"/>
      </w:pPr>
      <w:r>
        <w:rPr>
          <w:b/>
          <w:bCs/>
          <w:color w:val="0E7C7B"/>
        </w:rPr>
        <w:t xml:space="preserve">Criterios para release</w:t>
      </w:r>
    </w:p>
    <w:p>
      <w:pPr>
        <w:pStyle w:val="ListParagraph"/>
        <w:numPr>
          <w:ilvl w:val="0"/>
          <w:numId w:val="1"/>
        </w:numPr>
        <w:spacing w:after="80"/>
      </w:pPr>
      <w:r>
        <w:rPr>
          <w:rFonts w:ascii="Calibri" w:cs="Calibri" w:eastAsia="Calibri" w:hAnsi="Calibri"/>
          <w:sz w:val="22"/>
          <w:szCs w:val="22"/>
        </w:rPr>
        <w:t xml:space="preserve">El Pull Request de develop hacia main debe estar validado por Ariadna (Product Owner) antes de aprobarse.</w:t>
      </w:r>
    </w:p>
    <w:p>
      <w:pPr>
        <w:pStyle w:val="ListParagraph"/>
        <w:numPr>
          <w:ilvl w:val="0"/>
          <w:numId w:val="1"/>
        </w:numPr>
        <w:spacing w:after="80"/>
      </w:pPr>
      <w:r>
        <w:rPr>
          <w:rFonts w:ascii="Calibri" w:cs="Calibri" w:eastAsia="Calibri" w:hAnsi="Calibri"/>
          <w:sz w:val="22"/>
          <w:szCs w:val="22"/>
        </w:rPr>
        <w:t xml:space="preserve">Al cerrar el sprint con una versión estable, se genera un tag semántico (v0.x.y) sobre main.</w:t>
      </w:r>
    </w:p>
    <w:p>
      <w:pPr>
        <w:pStyle w:val="ListParagraph"/>
        <w:numPr>
          <w:ilvl w:val="0"/>
          <w:numId w:val="1"/>
        </w:numPr>
        <w:spacing w:after="80"/>
      </w:pPr>
      <w:r>
        <w:rPr>
          <w:rFonts w:ascii="Calibri" w:cs="Calibri" w:eastAsia="Calibri" w:hAnsi="Calibri"/>
          <w:sz w:val="22"/>
          <w:szCs w:val="22"/>
        </w:rPr>
        <w:t xml:space="preserve">Antes de un release hacia Firebase App Distribution, el build debe pasar además por pruebas manuales en al menos un dispositivo físico.</w:t>
      </w:r>
    </w:p>
    <w:p>
      <w:pPr>
        <w:pStyle w:val="Heading1"/>
        <w:spacing w:after="200" w:before="360"/>
      </w:pPr>
      <w:r>
        <w:rPr>
          <w:b/>
          <w:bCs/>
          <w:color w:val="1B2A4A"/>
        </w:rPr>
        <w:t xml:space="preserve">6. Estrategia de pruebas</w:t>
      </w:r>
    </w:p>
    <w:p>
      <w:pPr>
        <w:spacing w:after="160"/>
      </w:pPr>
      <w:r>
        <w:rPr>
          <w:rFonts w:ascii="Calibri" w:cs="Calibri" w:eastAsia="Calibri" w:hAnsi="Calibri"/>
          <w:sz w:val="22"/>
          <w:szCs w:val="22"/>
        </w:rPr>
        <w:t xml:space="preserve">El detalle de tipos de prueba, herramientas y casos de prueba (TC01–TC10) está definido en el documento de Planeación Scrum, sección 8. Para efectos de este plan DevOps, las pruebas unitarias (Jest) se ejecutan automáticamente dentro del pipeline de CI en cada push/PR; las pruebas de integración, aceptación (Gherkin), UI/UX y en dispositivos reales se ejecutan de forma manual al cierre de cada sprint, y las pruebas de regresión se repiten al final de cada sprint antes de integrar a main.</w:t>
      </w:r>
    </w:p>
    <w:p>
      <w:pPr>
        <w:spacing w:after="160"/>
      </w:pPr>
      <w:r>
        <w:rPr>
          <w:rFonts w:ascii="Calibri" w:cs="Calibri" w:eastAsia="Calibri" w:hAnsi="Calibri"/>
          <w:sz w:val="22"/>
          <w:szCs w:val="22"/>
        </w:rPr>
        <w:t xml:space="preserve">Criterios de entrada: historia con criterios de aceptación (Gherkin) definidos. Criterios de salida: todos los escenarios de aceptación de la historia pasan y no se detectan regresiones en módulos ya integrados.</w:t>
      </w:r>
    </w:p>
    <w:p>
      <w:pPr>
        <w:pStyle w:val="Heading1"/>
        <w:spacing w:after="200" w:before="360"/>
      </w:pPr>
      <w:r>
        <w:rPr>
          <w:b/>
          <w:bCs/>
          <w:color w:val="1B2A4A"/>
        </w:rPr>
        <w:t xml:space="preserve">7. Estrategia de despliegue</w:t>
      </w:r>
    </w:p>
    <w:p>
      <w:pPr>
        <w:pStyle w:val="Heading2"/>
        <w:spacing w:after="160" w:before="280"/>
      </w:pPr>
      <w:r>
        <w:rPr>
          <w:b/>
          <w:bCs/>
          <w:color w:val="0E7C7B"/>
        </w:rPr>
        <w:t xml:space="preserve">Alfa</w:t>
      </w:r>
    </w:p>
    <w:p>
      <w:pPr>
        <w:spacing w:after="160"/>
      </w:pPr>
      <w:r>
        <w:rPr>
          <w:rFonts w:ascii="Calibri" w:cs="Calibri" w:eastAsia="Calibri" w:hAnsi="Calibri"/>
          <w:sz w:val="22"/>
          <w:szCs w:val="22"/>
        </w:rPr>
        <w:t xml:space="preserve">Builds internos distribuidos al propio equipo mediante Firebase App Distribution al cierre de sprints clave (Sprint 4: escáner QR, Sprint 8: semáforo y notificaciones), para validación temprana entre integrantes.</w:t>
      </w:r>
    </w:p>
    <w:p>
      <w:pPr>
        <w:pStyle w:val="Heading2"/>
        <w:spacing w:after="160" w:before="280"/>
      </w:pPr>
      <w:r>
        <w:rPr>
          <w:b/>
          <w:bCs/>
          <w:color w:val="0E7C7B"/>
        </w:rPr>
        <w:t xml:space="preserve">Beta</w:t>
      </w:r>
    </w:p>
    <w:p>
      <w:pPr>
        <w:spacing w:after="160"/>
      </w:pPr>
      <w:r>
        <w:rPr>
          <w:rFonts w:ascii="Calibri" w:cs="Calibri" w:eastAsia="Calibri" w:hAnsi="Calibri"/>
          <w:sz w:val="22"/>
          <w:szCs w:val="22"/>
        </w:rPr>
        <w:t xml:space="preserve">A partir del Sprint 9 (integración) se distribuye el build vía Firebase App Distribution a la profesora como stakeholder externa, y se prueba en dispositivos físicos de gama alta y baja (Sprint 10), cubriendo el caso de uso sin conexión (TC10) antes de cualquier distribución.</w:t>
      </w:r>
    </w:p>
    <w:p>
      <w:pPr>
        <w:pStyle w:val="Heading2"/>
        <w:spacing w:after="160" w:before="280"/>
      </w:pPr>
      <w:r>
        <w:rPr>
          <w:b/>
          <w:bCs/>
          <w:color w:val="0E7C7B"/>
        </w:rPr>
        <w:t xml:space="preserve">Producción</w:t>
      </w:r>
    </w:p>
    <w:p>
      <w:pPr>
        <w:spacing w:after="160"/>
      </w:pPr>
      <w:r>
        <w:rPr>
          <w:rFonts w:ascii="Calibri" w:cs="Calibri" w:eastAsia="Calibri" w:hAnsi="Calibri"/>
          <w:sz w:val="22"/>
          <w:szCs w:val="22"/>
        </w:rPr>
        <w:t xml:space="preserve">Publicación en Google Play Console (pista interna o cerrada) como entrega final del MVP; la publicación en tienda abierta (Play Store pública / App Store) queda fuera del alcance del cuatrimestre y se deja documentada como siguiente paso post-entrega.</w:t>
      </w:r>
    </w:p>
    <w:p>
      <w:pPr>
        <w:pStyle w:val="Heading2"/>
        <w:spacing w:after="160" w:before="280"/>
      </w:pPr>
      <w:r>
        <w:rPr>
          <w:b/>
          <w:bCs/>
          <w:color w:val="0E7C7B"/>
        </w:rPr>
        <w:t xml:space="preserve">Feature flags</w:t>
      </w:r>
    </w:p>
    <w:p>
      <w:pPr>
        <w:spacing w:after="160"/>
      </w:pPr>
      <w:r>
        <w:rPr>
          <w:rFonts w:ascii="Calibri" w:cs="Calibri" w:eastAsia="Calibri" w:hAnsi="Calibri"/>
          <w:sz w:val="22"/>
          <w:szCs w:val="22"/>
        </w:rPr>
        <w:t xml:space="preserve">Dado el tamaño del equipo, no se usa un sistema de feature flags dedicado en el MVP. Las funcionalidades de prioridad Baja (HU10 — panel administrativo con reportes; HU11 — exportación de reportes en PDF) se mantienen fuera del build de producción activando/desactivando su ruta de navegación por configuración simple, hasta integrarse en una iteración futura.</w:t>
      </w:r>
    </w:p>
    <w:p>
      <w:pPr>
        <w:pStyle w:val="Heading1"/>
        <w:spacing w:after="200" w:before="360"/>
      </w:pPr>
      <w:r>
        <w:rPr>
          <w:b/>
          <w:bCs/>
          <w:color w:val="1B2A4A"/>
        </w:rPr>
        <w:t xml:space="preserve">8. Monitoreo y métricas</w:t>
      </w:r>
    </w:p>
    <w:p>
      <w:pPr>
        <w:pStyle w:val="Heading2"/>
        <w:spacing w:after="160" w:before="280"/>
      </w:pPr>
      <w:r>
        <w:rPr>
          <w:b/>
          <w:bCs/>
          <w:color w:val="0E7C7B"/>
        </w:rPr>
        <w:t xml:space="preserve">Crashes y estabilidad</w:t>
      </w:r>
    </w:p>
    <w:p>
      <w:pPr>
        <w:pStyle w:val="ListParagraph"/>
        <w:numPr>
          <w:ilvl w:val="0"/>
          <w:numId w:val="1"/>
        </w:numPr>
        <w:spacing w:after="80"/>
      </w:pPr>
      <w:r>
        <w:rPr>
          <w:rFonts w:ascii="Calibri" w:cs="Calibri" w:eastAsia="Calibri" w:hAnsi="Calibri"/>
          <w:sz w:val="22"/>
          <w:szCs w:val="22"/>
        </w:rPr>
        <w:t xml:space="preserve">Herramienta: Firebase Crashlytics o Sentry, integrado desde el Sprint 9 (integración).</w:t>
      </w:r>
    </w:p>
    <w:p>
      <w:pPr>
        <w:pStyle w:val="ListParagraph"/>
        <w:numPr>
          <w:ilvl w:val="0"/>
          <w:numId w:val="1"/>
        </w:numPr>
        <w:spacing w:after="80"/>
      </w:pPr>
      <w:r>
        <w:rPr>
          <w:rFonts w:ascii="Calibri" w:cs="Calibri" w:eastAsia="Calibri" w:hAnsi="Calibri"/>
          <w:sz w:val="22"/>
          <w:szCs w:val="22"/>
        </w:rPr>
        <w:t xml:space="preserve">SLO: tasa de sesiones libres de crash ≥ 98% antes de cada distribución beta.</w:t>
      </w:r>
    </w:p>
    <w:p>
      <w:pPr>
        <w:pStyle w:val="Heading2"/>
        <w:spacing w:after="160" w:before="280"/>
      </w:pPr>
      <w:r>
        <w:rPr>
          <w:b/>
          <w:bCs/>
          <w:color w:val="0E7C7B"/>
        </w:rPr>
        <w:t xml:space="preserve">Performance</w:t>
      </w:r>
    </w:p>
    <w:p>
      <w:pPr>
        <w:pStyle w:val="ListParagraph"/>
        <w:numPr>
          <w:ilvl w:val="0"/>
          <w:numId w:val="1"/>
        </w:numPr>
        <w:spacing w:after="80"/>
      </w:pPr>
      <w:r>
        <w:rPr>
          <w:rFonts w:ascii="Calibri" w:cs="Calibri" w:eastAsia="Calibri" w:hAnsi="Calibri"/>
          <w:sz w:val="22"/>
          <w:szCs w:val="22"/>
        </w:rPr>
        <w:t xml:space="preserve">Escaneo de QR y carga de la ficha técnica: objetivo menor a 3 segundos.</w:t>
      </w:r>
    </w:p>
    <w:p>
      <w:pPr>
        <w:pStyle w:val="ListParagraph"/>
        <w:numPr>
          <w:ilvl w:val="0"/>
          <w:numId w:val="1"/>
        </w:numPr>
        <w:spacing w:after="80"/>
      </w:pPr>
      <w:r>
        <w:rPr>
          <w:rFonts w:ascii="Calibri" w:cs="Calibri" w:eastAsia="Calibri" w:hAnsi="Calibri"/>
          <w:sz w:val="22"/>
          <w:szCs w:val="22"/>
        </w:rPr>
        <w:t xml:space="preserve">Carga de fotografías de evidencia (hasta 3 por orden): objetivo menor a 5 segundos.</w:t>
      </w:r>
    </w:p>
    <w:p>
      <w:pPr>
        <w:pStyle w:val="Heading2"/>
        <w:spacing w:after="160" w:before="280"/>
      </w:pPr>
      <w:r>
        <w:rPr>
          <w:b/>
          <w:bCs/>
          <w:color w:val="0E7C7B"/>
        </w:rPr>
        <w:t xml:space="preserve">Disponibilidad (SLI/SLO básicos)</w:t>
      </w:r>
    </w:p>
    <w:p>
      <w:pPr>
        <w:pStyle w:val="ListParagraph"/>
        <w:numPr>
          <w:ilvl w:val="0"/>
          <w:numId w:val="1"/>
        </w:numPr>
        <w:spacing w:after="80"/>
      </w:pPr>
      <w:r>
        <w:rPr>
          <w:rFonts w:ascii="Calibri" w:cs="Calibri" w:eastAsia="Calibri" w:hAnsi="Calibri"/>
          <w:sz w:val="22"/>
          <w:szCs w:val="22"/>
        </w:rPr>
        <w:t xml:space="preserve">Disponibilidad del backend (Supabase): se hereda del SLA del proveedor; se monitorea mediante el dashboard de Supabase.</w:t>
      </w:r>
    </w:p>
    <w:p>
      <w:pPr>
        <w:pStyle w:val="ListParagraph"/>
        <w:numPr>
          <w:ilvl w:val="0"/>
          <w:numId w:val="1"/>
        </w:numPr>
        <w:spacing w:after="80"/>
      </w:pPr>
      <w:r>
        <w:rPr>
          <w:rFonts w:ascii="Calibri" w:cs="Calibri" w:eastAsia="Calibri" w:hAnsi="Calibri"/>
          <w:sz w:val="22"/>
          <w:szCs w:val="22"/>
        </w:rPr>
        <w:t xml:space="preserve">Objetivo interno: 0 incidentes críticos de disponibilidad no resueltos al cierre de un sprint.</w:t>
      </w:r>
    </w:p>
    <w:p>
      <w:pPr>
        <w:pStyle w:val="Heading2"/>
        <w:spacing w:after="160" w:before="280"/>
      </w:pPr>
      <w:r>
        <w:rPr>
          <w:b/>
          <w:bCs/>
          <w:color w:val="0E7C7B"/>
        </w:rPr>
        <w:t xml:space="preserve">Métricas de proyecto</w:t>
      </w:r>
    </w:p>
    <w:p>
      <w:pPr>
        <w:pStyle w:val="ListParagraph"/>
        <w:numPr>
          <w:ilvl w:val="0"/>
          <w:numId w:val="1"/>
        </w:numPr>
        <w:spacing w:after="80"/>
      </w:pPr>
      <w:r>
        <w:rPr>
          <w:rFonts w:ascii="Calibri" w:cs="Calibri" w:eastAsia="Calibri" w:hAnsi="Calibri"/>
          <w:sz w:val="22"/>
          <w:szCs w:val="22"/>
        </w:rPr>
        <w:t xml:space="preserve">Porcentaje de historias completadas por sprint vs. planeadas.</w:t>
      </w:r>
    </w:p>
    <w:p>
      <w:pPr>
        <w:pStyle w:val="ListParagraph"/>
        <w:numPr>
          <w:ilvl w:val="0"/>
          <w:numId w:val="1"/>
        </w:numPr>
        <w:spacing w:after="80"/>
      </w:pPr>
      <w:r>
        <w:rPr>
          <w:rFonts w:ascii="Calibri" w:cs="Calibri" w:eastAsia="Calibri" w:hAnsi="Calibri"/>
          <w:sz w:val="22"/>
          <w:szCs w:val="22"/>
        </w:rPr>
        <w:t xml:space="preserve">Cobertura de pruebas unitarias en módulos críticos.</w:t>
      </w:r>
    </w:p>
    <w:p>
      <w:pPr>
        <w:pStyle w:val="ListParagraph"/>
        <w:numPr>
          <w:ilvl w:val="0"/>
          <w:numId w:val="1"/>
        </w:numPr>
        <w:spacing w:after="80"/>
      </w:pPr>
      <w:r>
        <w:rPr>
          <w:rFonts w:ascii="Calibri" w:cs="Calibri" w:eastAsia="Calibri" w:hAnsi="Calibri"/>
          <w:sz w:val="22"/>
          <w:szCs w:val="22"/>
        </w:rPr>
        <w:t xml:space="preserve">Número de bugs reabiertos por sprint (indicador de calidad de las correcciones).</w:t>
      </w:r>
    </w:p>
    <w:p>
      <w:pPr>
        <w:pStyle w:val="Heading1"/>
        <w:spacing w:after="200" w:before="360"/>
      </w:pPr>
      <w:r>
        <w:rPr>
          <w:b/>
          <w:bCs/>
          <w:color w:val="1B2A4A"/>
        </w:rPr>
        <w:t xml:space="preserve">9. Riesgos y planes de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00"/>
        <w:gridCol w:w="4400"/>
      </w:tblGrid>
      <w:tr>
        <w:trPr>
          <w:tblHeader/>
        </w:trPr>
        <w:tc>
          <w:tcPr>
            <w:tcW w:type="dxa" w:w="356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Riesgo</w:t>
            </w:r>
          </w:p>
        </w:tc>
        <w:tc>
          <w:tcPr>
            <w:tcW w:type="dxa" w:w="140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Impacto</w:t>
            </w:r>
          </w:p>
        </w:tc>
        <w:tc>
          <w:tcPr>
            <w:tcW w:type="dxa" w:w="440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Mitigación</w:t>
            </w:r>
          </w:p>
        </w:tc>
      </w:tr>
      <w:tr>
        <w:tc>
          <w:tcPr>
            <w:tcW w:type="dxa" w:w="35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Equipo reducido (4 personas) cubriendo roles Scrum y de desarrollo a la vez</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Alto</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Priorización estricta con MoSCoW, apoyo cruzado entre integrantes y alcance de MVP acotado a historias de prioridad Alta/Media</w:t>
            </w:r>
          </w:p>
        </w:tc>
      </w:tr>
      <w:tr>
        <w:tc>
          <w:tcPr>
            <w:tcW w:type="dxa" w:w="35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Curva de aprendizaje con Capacitor y plugins nativos (cámara, QR, notificaciones)</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Medio</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Spike técnico dedicado en Sprint 1 y uso de plugins oficiales con documentación amplia</w:t>
            </w:r>
          </w:p>
        </w:tc>
      </w:tr>
      <w:tr>
        <w:tc>
          <w:tcPr>
            <w:tcW w:type="dxa" w:w="35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Dependencia de conexión a internet hacia Supabase</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Medio</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Almacenamiento local (SQLite/AsyncStorage) para operar sin conexión, cubierto por el caso de prueba TC10</w:t>
            </w:r>
          </w:p>
        </w:tc>
      </w:tr>
      <w:tr>
        <w:tc>
          <w:tcPr>
            <w:tcW w:type="dxa" w:w="35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Tiempo académico limitado (10 semanas) frente al alcance completo del sistema</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Alto</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Backlog priorizado; HU10 y HU11 quedan como backlog futuro fuera del MVP</w:t>
            </w:r>
          </w:p>
        </w:tc>
      </w:tr>
      <w:tr>
        <w:tc>
          <w:tcPr>
            <w:tcW w:type="dxa" w:w="35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Pérdida o fallo en la carga de evidencia fotográfica</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Bajo</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Reintentos automáticos de carga, compresión de imágenes y validación antes de permitir el cierre de la orden</w:t>
            </w:r>
          </w:p>
        </w:tc>
      </w:tr>
    </w:tbl>
    <w:p>
      <w:pPr>
        <w:pStyle w:val="Heading1"/>
        <w:spacing w:after="200" w:before="360"/>
      </w:pPr>
      <w:r>
        <w:rPr>
          <w:b/>
          <w:bCs/>
          <w:color w:val="1B2A4A"/>
        </w:rPr>
        <w:t xml:space="preserve">10. Guía de Runbook — fallas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60"/>
        <w:gridCol w:w="3040"/>
      </w:tblGrid>
      <w:tr>
        <w:trPr>
          <w:tblHeader/>
        </w:trPr>
        <w:tc>
          <w:tcPr>
            <w:tcW w:type="dxa" w:w="316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Falla</w:t>
            </w:r>
          </w:p>
        </w:tc>
        <w:tc>
          <w:tcPr>
            <w:tcW w:type="dxa" w:w="316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Diagnóstico</w:t>
            </w:r>
          </w:p>
        </w:tc>
        <w:tc>
          <w:tcPr>
            <w:tcW w:type="dxa" w:w="304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Acción</w:t>
            </w:r>
          </w:p>
        </w:tc>
      </w:tr>
      <w:tr>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 roto en CI (GitHub Actions en rojo)</w:t>
            </w:r>
          </w:p>
        </w:tc>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Revisar el log del job fallido: error de lint, dependencia faltante o test roto</w:t>
            </w:r>
          </w:p>
        </w:tc>
        <w:tc>
          <w:tcPr>
            <w:tcW w:type="dxa" w:w="30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Corregir en una rama fix/ci-*, o revertir el commit que rompió develop si bloquea al equipo; notificar en #dev</w:t>
            </w:r>
          </w:p>
        </w:tc>
      </w:tr>
      <w:tr>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Credenciales/API keys expiran (Supabase anon key, credenciales de Firebase)</w:t>
            </w:r>
          </w:p>
        </w:tc>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Errores 401/403 al conectar con Supabase o al distribuir con Firebase</w:t>
            </w:r>
          </w:p>
        </w:tc>
        <w:tc>
          <w:tcPr>
            <w:tcW w:type="dxa" w:w="30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Rotar la credencial en el proveedor, actualizar .env local y los Secrets del repositorio en GitHub Actions; avisar en #ops</w:t>
            </w:r>
          </w:p>
        </w:tc>
      </w:tr>
      <w:tr>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Cuota de API excedida (plan gratuito de Supabase)</w:t>
            </w:r>
          </w:p>
        </w:tc>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Respuestas de error por límite de requests o de almacenamiento</w:t>
            </w:r>
          </w:p>
        </w:tc>
        <w:tc>
          <w:tcPr>
            <w:tcW w:type="dxa" w:w="30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Revisar el dashboard de uso de Supabase, optimizar consultas (evitar SELECT * en historiales largos) y evaluar upgrade de plan si es recurrente</w:t>
            </w:r>
          </w:p>
        </w:tc>
      </w:tr>
    </w:tbl>
    <w:p>
      <w:r>
        <w:br w:type="page"/>
      </w:r>
    </w:p>
    <w:p>
      <w:pPr>
        <w:pStyle w:val="Heading1"/>
        <w:spacing w:after="200" w:before="360"/>
      </w:pPr>
      <w:r>
        <w:rPr>
          <w:b/>
          <w:bCs/>
          <w:color w:val="1B2A4A"/>
        </w:rPr>
        <w:t xml:space="preserve">Anexo A — Matriz comparativa y dictamen de herramienta de comunicación</w:t>
      </w:r>
    </w:p>
    <w:p>
      <w:pPr>
        <w:spacing w:after="160"/>
      </w:pPr>
      <w:r>
        <w:rPr>
          <w:rFonts w:ascii="Calibri" w:cs="Calibri" w:eastAsia="Calibri" w:hAnsi="Calibri"/>
          <w:sz w:val="22"/>
          <w:szCs w:val="22"/>
        </w:rPr>
        <w:t xml:space="preserve">Se evaluaron cuatro candidatas (Slack, Microsoft Teams, Discord, Google Chat) con una escala de 1 a 5 en los criterios relevantes para un equipo de 4 estudiantes trabajando de forma distribuida: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Criterio</w:t>
            </w:r>
          </w:p>
        </w:tc>
        <w:tc>
          <w:tcPr>
            <w:tcW w:type="dxa" w:w="155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Slack</w:t>
            </w:r>
          </w:p>
        </w:tc>
        <w:tc>
          <w:tcPr>
            <w:tcW w:type="dxa" w:w="155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Teams</w:t>
            </w:r>
          </w:p>
        </w:tc>
        <w:tc>
          <w:tcPr>
            <w:tcW w:type="dxa" w:w="155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Discord</w:t>
            </w:r>
          </w:p>
        </w:tc>
        <w:tc>
          <w:tcPr>
            <w:tcW w:type="dxa" w:w="155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Google Chat</w:t>
            </w:r>
          </w:p>
        </w:tc>
      </w:tr>
      <w:tr>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Canales/hilos</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r>
      <w:tr>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Reuniones/llamadas</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r>
      <w:tr>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Screen sharing</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r>
      <w:tr>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Bots/automatización</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w:t>
            </w:r>
          </w:p>
        </w:tc>
      </w:tr>
      <w:tr>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Integraciones (GitHub/Drive)</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r>
      <w:tr>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Permisos y roles</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r>
      <w:tr>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Seguridad/compliance</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r>
      <w:tr>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Límite de historial (plan free)</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r>
      <w:tr>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Costo para educación</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r>
      <w:tr>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Facilidad móvil</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r>
      <w:tr>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Grabaciones</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1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r>
      <w:tr>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41</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46</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47</w:t>
            </w:r>
          </w:p>
        </w:tc>
        <w:tc>
          <w:tcPr>
            <w:tcW w:type="dxa" w:w="1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36</w:t>
            </w:r>
          </w:p>
        </w:tc>
      </w:tr>
    </w:tbl>
    <w:p>
      <w:pPr>
        <w:pStyle w:val="Heading2"/>
        <w:spacing w:after="160" w:before="280"/>
      </w:pPr>
      <w:r>
        <w:rPr>
          <w:b/>
          <w:bCs/>
          <w:color w:val="0E7C7B"/>
        </w:rPr>
        <w:t xml:space="preserve">Dictamen</w:t>
      </w:r>
    </w:p>
    <w:p>
      <w:pPr>
        <w:spacing w:after="160"/>
      </w:pPr>
      <w:r>
        <w:rPr>
          <w:rFonts w:ascii="Calibri" w:cs="Calibri" w:eastAsia="Calibri" w:hAnsi="Calibri"/>
          <w:sz w:val="22"/>
          <w:szCs w:val="22"/>
        </w:rPr>
        <w:t xml:space="preserve">El equipo elige Discord como herramienta de comunicación del proyecto. Los tres criterios que más pesaron en la decisión fueron: (1) costo para educación — Discord es completamente gratuito sin límites relevantes para un equipo de 4 personas, a diferencia de las restricciones de historial del plan gratuito de Slack; (2) historial de mensajes sin límite de tiempo en el plan gratuito, importante para conservar decisiones técnicas durante las 10 semanas del proyecto; y (3) facilidad de uso en móvil y screen sharing integrado para las dailies y reviews, sin requerir licencias institucionales como Teams.</w:t>
      </w:r>
    </w:p>
    <w:p>
      <w:pPr>
        <w:spacing w:after="160"/>
      </w:pPr>
      <w:r>
        <w:rPr>
          <w:rFonts w:ascii="Calibri" w:cs="Calibri" w:eastAsia="Calibri" w:hAnsi="Calibri"/>
          <w:sz w:val="22"/>
          <w:szCs w:val="22"/>
        </w:rPr>
        <w:t xml:space="preserve">El riesgo principal identificado es que Discord no está pensado originalmente para entornos corporativos, por lo que carece de controles de compliance propios de Teams. Se mitiga limitando el servidor a los integrantes del equipo y a la profesora como invitada puntual para las Sprint Review, y evitando compartir credenciales o datos sensibles del proyecto por chat (esas quedan en GitHub Secrets/.env, nunca en Discord).</w:t>
      </w:r>
    </w:p>
    <w:p>
      <w:pPr>
        <w:pStyle w:val="Heading1"/>
        <w:spacing w:after="200" w:before="360"/>
      </w:pPr>
      <w:r>
        <w:rPr>
          <w:b/>
          <w:bCs/>
          <w:color w:val="1B2A4A"/>
        </w:rPr>
        <w:t xml:space="preserve">Anexo B — Guía de comunicación del equipo</w:t>
      </w:r>
    </w:p>
    <w:p>
      <w:pPr>
        <w:pStyle w:val="Heading2"/>
        <w:spacing w:after="160" w:before="280"/>
      </w:pPr>
      <w:r>
        <w:rPr>
          <w:b/>
          <w:bCs/>
          <w:color w:val="0E7C7B"/>
        </w:rPr>
        <w:t xml:space="preserve">Canales</w:t>
      </w:r>
    </w:p>
    <w:p>
      <w:pPr>
        <w:pStyle w:val="ListParagraph"/>
        <w:numPr>
          <w:ilvl w:val="0"/>
          <w:numId w:val="1"/>
        </w:numPr>
        <w:spacing w:after="80"/>
      </w:pPr>
      <w:r>
        <w:rPr>
          <w:rFonts w:ascii="Calibri" w:cs="Calibri" w:eastAsia="Calibri" w:hAnsi="Calibri"/>
          <w:sz w:val="22"/>
          <w:szCs w:val="22"/>
        </w:rPr>
        <w:t xml:space="preserve">#anuncios — avisos generales y fechas importantes.</w:t>
      </w:r>
    </w:p>
    <w:p>
      <w:pPr>
        <w:pStyle w:val="ListParagraph"/>
        <w:numPr>
          <w:ilvl w:val="0"/>
          <w:numId w:val="1"/>
        </w:numPr>
        <w:spacing w:after="80"/>
      </w:pPr>
      <w:r>
        <w:rPr>
          <w:rFonts w:ascii="Calibri" w:cs="Calibri" w:eastAsia="Calibri" w:hAnsi="Calibri"/>
          <w:sz w:val="22"/>
          <w:szCs w:val="22"/>
        </w:rPr>
        <w:t xml:space="preserve">#dev — discusión técnica, notificaciones de CI/CD (webhook de GitHub Actions).</w:t>
      </w:r>
    </w:p>
    <w:p>
      <w:pPr>
        <w:pStyle w:val="ListParagraph"/>
        <w:numPr>
          <w:ilvl w:val="0"/>
          <w:numId w:val="1"/>
        </w:numPr>
        <w:spacing w:after="80"/>
      </w:pPr>
      <w:r>
        <w:rPr>
          <w:rFonts w:ascii="Calibri" w:cs="Calibri" w:eastAsia="Calibri" w:hAnsi="Calibri"/>
          <w:sz w:val="22"/>
          <w:szCs w:val="22"/>
        </w:rPr>
        <w:t xml:space="preserve">#qa — reporte y seguimiento de bugs encontrados en pruebas.</w:t>
      </w:r>
    </w:p>
    <w:p>
      <w:pPr>
        <w:pStyle w:val="ListParagraph"/>
        <w:numPr>
          <w:ilvl w:val="0"/>
          <w:numId w:val="1"/>
        </w:numPr>
        <w:spacing w:after="80"/>
      </w:pPr>
      <w:r>
        <w:rPr>
          <w:rFonts w:ascii="Calibri" w:cs="Calibri" w:eastAsia="Calibri" w:hAnsi="Calibri"/>
          <w:sz w:val="22"/>
          <w:szCs w:val="22"/>
        </w:rPr>
        <w:t xml:space="preserve">#ops — incidentes, credenciales rotadas, estado de Supabase/Firebase.</w:t>
      </w:r>
    </w:p>
    <w:p>
      <w:pPr>
        <w:pStyle w:val="ListParagraph"/>
        <w:numPr>
          <w:ilvl w:val="0"/>
          <w:numId w:val="1"/>
        </w:numPr>
        <w:spacing w:after="80"/>
      </w:pPr>
      <w:r>
        <w:rPr>
          <w:rFonts w:ascii="Calibri" w:cs="Calibri" w:eastAsia="Calibri" w:hAnsi="Calibri"/>
          <w:sz w:val="22"/>
          <w:szCs w:val="22"/>
        </w:rPr>
        <w:t xml:space="preserve">#dudas — preguntas puntuales entre integrantes.</w:t>
      </w:r>
    </w:p>
    <w:p>
      <w:pPr>
        <w:pStyle w:val="ListParagraph"/>
        <w:numPr>
          <w:ilvl w:val="0"/>
          <w:numId w:val="1"/>
        </w:numPr>
        <w:spacing w:after="80"/>
      </w:pPr>
      <w:r>
        <w:rPr>
          <w:rFonts w:ascii="Calibri" w:cs="Calibri" w:eastAsia="Calibri" w:hAnsi="Calibri"/>
          <w:sz w:val="22"/>
          <w:szCs w:val="22"/>
        </w:rPr>
        <w:t xml:space="preserve">#random — conversación informal del equipo.</w:t>
      </w:r>
    </w:p>
    <w:p>
      <w:pPr>
        <w:pStyle w:val="Heading2"/>
        <w:spacing w:after="160" w:before="280"/>
      </w:pPr>
      <w:r>
        <w:rPr>
          <w:b/>
          <w:bCs/>
          <w:color w:val="0E7C7B"/>
        </w:rPr>
        <w:t xml:space="preserve">Normas de uso</w:t>
      </w:r>
    </w:p>
    <w:p>
      <w:pPr>
        <w:pStyle w:val="ListParagraph"/>
        <w:numPr>
          <w:ilvl w:val="0"/>
          <w:numId w:val="1"/>
        </w:numPr>
        <w:spacing w:after="80"/>
      </w:pPr>
      <w:r>
        <w:rPr>
          <w:rFonts w:ascii="Calibri" w:cs="Calibri" w:eastAsia="Calibri" w:hAnsi="Calibri"/>
          <w:sz w:val="22"/>
          <w:szCs w:val="22"/>
        </w:rPr>
        <w:t xml:space="preserve">SLA de respuesta: máximo 24 horas en días hábiles para mensajes directos o menciones.</w:t>
      </w:r>
    </w:p>
    <w:p>
      <w:pPr>
        <w:pStyle w:val="ListParagraph"/>
        <w:numPr>
          <w:ilvl w:val="0"/>
          <w:numId w:val="1"/>
        </w:numPr>
        <w:spacing w:after="80"/>
      </w:pPr>
      <w:r>
        <w:rPr>
          <w:rFonts w:ascii="Calibri" w:cs="Calibri" w:eastAsia="Calibri" w:hAnsi="Calibri"/>
          <w:sz w:val="22"/>
          <w:szCs w:val="22"/>
        </w:rPr>
        <w:t xml:space="preserve">Daily Scrum: asíncrona por texto en #dev antes de las 10:00 am, o síncrona de 15 minutos si el equipo lo acuerda esa semana.</w:t>
      </w:r>
    </w:p>
    <w:p>
      <w:pPr>
        <w:pStyle w:val="ListParagraph"/>
        <w:numPr>
          <w:ilvl w:val="0"/>
          <w:numId w:val="1"/>
        </w:numPr>
        <w:spacing w:after="80"/>
      </w:pPr>
      <w:r>
        <w:rPr>
          <w:rFonts w:ascii="Calibri" w:cs="Calibri" w:eastAsia="Calibri" w:hAnsi="Calibri"/>
          <w:sz w:val="22"/>
          <w:szCs w:val="22"/>
        </w:rPr>
        <w:t xml:space="preserve">Usar hilos para cualquier discusión técnica que tome más de 3 mensajes, para no saturar el canal principal.</w:t>
      </w:r>
    </w:p>
    <w:p>
      <w:pPr>
        <w:pStyle w:val="ListParagraph"/>
        <w:numPr>
          <w:ilvl w:val="0"/>
          <w:numId w:val="1"/>
        </w:numPr>
        <w:spacing w:after="80"/>
      </w:pPr>
      <w:r>
        <w:rPr>
          <w:rFonts w:ascii="Calibri" w:cs="Calibri" w:eastAsia="Calibri" w:hAnsi="Calibri"/>
          <w:sz w:val="22"/>
          <w:szCs w:val="22"/>
        </w:rPr>
        <w:t xml:space="preserve">Reservar @menciones (@here/@everyone) para bloqueos urgentes que impidan avanzar (build roto, credenciales caídas).</w:t>
      </w:r>
    </w:p>
    <w:p>
      <w:pPr>
        <w:pStyle w:val="ListParagraph"/>
        <w:numPr>
          <w:ilvl w:val="0"/>
          <w:numId w:val="1"/>
        </w:numPr>
        <w:spacing w:after="80"/>
      </w:pPr>
      <w:r>
        <w:rPr>
          <w:rFonts w:ascii="Calibri" w:cs="Calibri" w:eastAsia="Calibri" w:hAnsi="Calibri"/>
          <w:sz w:val="22"/>
          <w:szCs w:val="22"/>
        </w:rPr>
        <w:t xml:space="preserve">Reportar bugs siempre en #qa con pasos para reproducir, nunca solo en #dudas.</w:t>
      </w:r>
    </w:p>
    <w:p>
      <w:pPr>
        <w:pStyle w:val="Heading2"/>
        <w:spacing w:after="160" w:before="280"/>
      </w:pPr>
      <w:r>
        <w:rPr>
          <w:b/>
          <w:bCs/>
          <w:color w:val="0E7C7B"/>
        </w:rPr>
        <w:t xml:space="preserve">Integraciones configuradas</w:t>
      </w:r>
    </w:p>
    <w:p>
      <w:pPr>
        <w:pStyle w:val="ListParagraph"/>
        <w:numPr>
          <w:ilvl w:val="0"/>
          <w:numId w:val="1"/>
        </w:numPr>
        <w:spacing w:after="80"/>
      </w:pPr>
      <w:r>
        <w:rPr>
          <w:rFonts w:ascii="Calibri" w:cs="Calibri" w:eastAsia="Calibri" w:hAnsi="Calibri"/>
          <w:sz w:val="22"/>
          <w:szCs w:val="22"/>
        </w:rPr>
        <w:t xml:space="preserve">Webhook de GitHub Actions publicando el resultado de cada workflow en #dev.</w:t>
      </w:r>
    </w:p>
    <w:p>
      <w:pPr>
        <w:pStyle w:val="ListParagraph"/>
        <w:numPr>
          <w:ilvl w:val="0"/>
          <w:numId w:val="1"/>
        </w:numPr>
        <w:spacing w:after="80"/>
      </w:pPr>
      <w:r>
        <w:rPr>
          <w:rFonts w:ascii="Calibri" w:cs="Calibri" w:eastAsia="Calibri" w:hAnsi="Calibri"/>
          <w:sz w:val="22"/>
          <w:szCs w:val="22"/>
        </w:rPr>
        <w:t xml:space="preserve">Enlace fijado (pin) al board de GitHub Projects en #anuncios.</w:t>
      </w:r>
    </w:p>
    <w:p>
      <w:pPr>
        <w:pStyle w:val="ListParagraph"/>
        <w:numPr>
          <w:ilvl w:val="0"/>
          <w:numId w:val="1"/>
        </w:numPr>
        <w:spacing w:after="80"/>
      </w:pPr>
      <w:r>
        <w:rPr>
          <w:rFonts w:ascii="Calibri" w:cs="Calibri" w:eastAsia="Calibri" w:hAnsi="Calibri"/>
          <w:sz w:val="22"/>
          <w:szCs w:val="22"/>
        </w:rPr>
        <w:t xml:space="preserve">Enlace fijado al calendario de dailies/ceremonias Scrum en #anuncios.</w:t>
      </w:r>
    </w:p>
    <w:p>
      <w:pPr>
        <w:pStyle w:val="Heading1"/>
        <w:spacing w:after="200" w:before="360"/>
      </w:pPr>
      <w:r>
        <w:rPr>
          <w:b/>
          <w:bCs/>
          <w:color w:val="1B2A4A"/>
        </w:rPr>
        <w:t xml:space="preserve">Anexo C — Sprint 0 y tablón de trabajo (board)</w:t>
      </w:r>
    </w:p>
    <w:p>
      <w:pPr>
        <w:pStyle w:val="Heading2"/>
        <w:spacing w:after="160" w:before="280"/>
      </w:pPr>
      <w:r>
        <w:rPr>
          <w:b/>
          <w:bCs/>
          <w:color w:val="0E7C7B"/>
        </w:rPr>
        <w:t xml:space="preserve">Historias de usuario iniciales (formato INVEST)</w:t>
      </w:r>
    </w:p>
    <w:p>
      <w:pPr>
        <w:spacing w:after="160"/>
      </w:pPr>
      <w:r>
        <w:rPr>
          <w:rFonts w:ascii="Calibri" w:cs="Calibri" w:eastAsia="Calibri" w:hAnsi="Calibri"/>
          <w:sz w:val="22"/>
          <w:szCs w:val="22"/>
        </w:rPr>
        <w:t xml:space="preserve">Las siguientes 8 historias, ya documentadas con sus escenarios Gherkin en la Planeación Scrum, conforman el alcance inicial priorizado con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3160"/>
        <w:gridCol w:w="2000"/>
        <w:gridCol w:w="3040"/>
      </w:tblGrid>
      <w:tr>
        <w:trPr>
          <w:tblHeader/>
        </w:trPr>
        <w:tc>
          <w:tcPr>
            <w:tcW w:type="dxa" w:w="116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316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Historia</w:t>
            </w:r>
          </w:p>
        </w:tc>
        <w:tc>
          <w:tcPr>
            <w:tcW w:type="dxa" w:w="200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Prioridad MoSCoW</w:t>
            </w:r>
          </w:p>
        </w:tc>
        <w:tc>
          <w:tcPr>
            <w:tcW w:type="dxa" w:w="3040"/>
            <w:shd w:fill="0E7C7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Criterio de aceptación (resumen)</w:t>
            </w:r>
          </w:p>
        </w:tc>
      </w:tr>
      <w:tr>
        <w:tc>
          <w:tcPr>
            <w:tcW w:type="dxa" w:w="1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HU1</w:t>
            </w:r>
          </w:p>
        </w:tc>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Autenticación de usuarios por rol</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Must have</w:t>
            </w:r>
          </w:p>
        </w:tc>
        <w:tc>
          <w:tcPr>
            <w:tcW w:type="dxa" w:w="30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Login válido da acceso según rol; credenciales inválidas muestran error</w:t>
            </w:r>
          </w:p>
        </w:tc>
      </w:tr>
      <w:tr>
        <w:tc>
          <w:tcPr>
            <w:tcW w:type="dxa" w:w="1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HU2</w:t>
            </w:r>
          </w:p>
        </w:tc>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Registro de equipos y generación de QR</w:t>
            </w:r>
          </w:p>
        </w:tc>
        <w:tc>
          <w:tcPr>
            <w:tcW w:type="dxa" w:w="2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Must have</w:t>
            </w:r>
          </w:p>
        </w:tc>
        <w:tc>
          <w:tcPr>
            <w:tcW w:type="dxa" w:w="30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Alta de equipo genera QR único; número de serie duplicado se rechaza</w:t>
            </w:r>
          </w:p>
        </w:tc>
      </w:tr>
      <w:tr>
        <w:tc>
          <w:tcPr>
            <w:tcW w:type="dxa" w:w="1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HU3</w:t>
            </w:r>
          </w:p>
        </w:tc>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Escaneo de código QR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Must have</w:t>
            </w:r>
          </w:p>
        </w:tc>
        <w:tc>
          <w:tcPr>
            <w:tcW w:type="dxa" w:w="30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QR válido muestra ficha técnica e historial; QR no reconocido muestra error</w:t>
            </w:r>
          </w:p>
        </w:tc>
      </w:tr>
      <w:tr>
        <w:tc>
          <w:tcPr>
            <w:tcW w:type="dxa" w:w="1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HU4/HU5</w:t>
            </w:r>
          </w:p>
        </w:tc>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Checklist interactivo de servicio</w:t>
            </w:r>
          </w:p>
        </w:tc>
        <w:tc>
          <w:tcPr>
            <w:tcW w:type="dxa" w:w="2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Must have</w:t>
            </w:r>
          </w:p>
        </w:tc>
        <w:tc>
          <w:tcPr>
            <w:tcW w:type="dxa" w:w="30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se puede cerrar la orden con tareas obligatorias sin marcar</w:t>
            </w:r>
          </w:p>
        </w:tc>
      </w:tr>
      <w:tr>
        <w:tc>
          <w:tcPr>
            <w:tcW w:type="dxa" w:w="1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HU6</w:t>
            </w:r>
          </w:p>
        </w:tc>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Bitácora fotográfica de evidencias</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Must have</w:t>
            </w:r>
          </w:p>
        </w:tc>
        <w:tc>
          <w:tcPr>
            <w:tcW w:type="dxa" w:w="30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Hasta 3 fotos quedan asociadas y visibles en el historial</w:t>
            </w:r>
          </w:p>
        </w:tc>
      </w:tr>
      <w:tr>
        <w:tc>
          <w:tcPr>
            <w:tcW w:type="dxa" w:w="1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HU7/HU8</w:t>
            </w:r>
          </w:p>
        </w:tc>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Programación automática y semáforo</w:t>
            </w:r>
          </w:p>
        </w:tc>
        <w:tc>
          <w:tcPr>
            <w:tcW w:type="dxa" w:w="2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Must have</w:t>
            </w:r>
          </w:p>
        </w:tc>
        <w:tc>
          <w:tcPr>
            <w:tcW w:type="dxa" w:w="30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Cálculo automático de próxima fecha; semáforo amarillo/rojo según vencimiento</w:t>
            </w:r>
          </w:p>
        </w:tc>
      </w:tr>
      <w:tr>
        <w:tc>
          <w:tcPr>
            <w:tcW w:type="dxa" w:w="1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HU9</w:t>
            </w:r>
          </w:p>
        </w:tc>
        <w:tc>
          <w:tcPr>
            <w:tcW w:type="dxa" w:w="316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Historial de fallas y causa raíz</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Should have</w:t>
            </w:r>
          </w:p>
        </w:tc>
        <w:tc>
          <w:tcPr>
            <w:tcW w:type="dxa" w:w="30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 fallas en un subsistema disparan alerta de falla recurrente</w:t>
            </w:r>
          </w:p>
        </w:tc>
      </w:tr>
      <w:tr>
        <w:tc>
          <w:tcPr>
            <w:tcW w:type="dxa" w:w="1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HU10/HU11</w:t>
            </w:r>
          </w:p>
        </w:tc>
        <w:tc>
          <w:tcPr>
            <w:tcW w:type="dxa" w:w="316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Panel administrativo y exportación PDF</w:t>
            </w:r>
          </w:p>
        </w:tc>
        <w:tc>
          <w:tcPr>
            <w:tcW w:type="dxa" w:w="2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Could have / Won't have (este MVP)</w:t>
            </w:r>
          </w:p>
        </w:tc>
        <w:tc>
          <w:tcPr>
            <w:tcW w:type="dxa" w:w="30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Quedan como backlog futuro post-MVP</w:t>
            </w:r>
          </w:p>
        </w:tc>
      </w:tr>
    </w:tbl>
    <w:p>
      <w:pPr>
        <w:pStyle w:val="Heading2"/>
        <w:spacing w:after="160" w:before="280"/>
      </w:pPr>
      <w:r>
        <w:rPr>
          <w:b/>
          <w:bCs/>
          <w:color w:val="0E7C7B"/>
        </w:rPr>
        <w:t xml:space="preserve">Definición de Sprint 0</w:t>
      </w:r>
    </w:p>
    <w:p>
      <w:pPr>
        <w:spacing w:after="160"/>
      </w:pPr>
      <w:r>
        <w:rPr>
          <w:rFonts w:ascii="Calibri" w:cs="Calibri" w:eastAsia="Calibri" w:hAnsi="Calibri"/>
          <w:sz w:val="22"/>
          <w:szCs w:val="22"/>
        </w:rPr>
        <w:t xml:space="preserve">El Sprint 0 (equivalente al Sprint 1 — Fundamentos y diseño de la planeación Scrum) tiene como objetivo dejar lista la base técnica antes de desarrollar funcionalidad: definir la arquitectura técnica, diseñar los wireframes en Figma, modelar la base de datos, configurar el repositorio Git con su estructura de carpetas y ramas, y correr el Sprint Planning inicial con el Product Backlog priorizado. No entrega funcionalidad visible al usuario final, pero es el habilitador de todos los sprints siguientes.</w:t>
      </w:r>
    </w:p>
    <w:p>
      <w:pPr>
        <w:pStyle w:val="Heading2"/>
        <w:spacing w:after="160" w:before="280"/>
      </w:pPr>
      <w:r>
        <w:rPr>
          <w:b/>
          <w:bCs/>
          <w:color w:val="0E7C7B"/>
        </w:rPr>
        <w:t xml:space="preserve">Tablón de trabajo (board)</w:t>
      </w:r>
    </w:p>
    <w:p>
      <w:pPr>
        <w:spacing w:after="160"/>
      </w:pPr>
      <w:r>
        <w:rPr>
          <w:rFonts w:ascii="Calibri" w:cs="Calibri" w:eastAsia="Calibri" w:hAnsi="Calibri"/>
          <w:sz w:val="22"/>
          <w:szCs w:val="22"/>
        </w:rPr>
        <w:t xml:space="preserve">Se usa GitHub Projects con las siguientes columnas:</w:t>
      </w:r>
    </w:p>
    <w:p>
      <w:pPr>
        <w:pStyle w:val="ListParagraph"/>
        <w:numPr>
          <w:ilvl w:val="0"/>
          <w:numId w:val="1"/>
        </w:numPr>
        <w:spacing w:after="80"/>
      </w:pPr>
      <w:r>
        <w:rPr>
          <w:rFonts w:ascii="Calibri" w:cs="Calibri" w:eastAsia="Calibri" w:hAnsi="Calibri"/>
          <w:sz w:val="22"/>
          <w:szCs w:val="22"/>
        </w:rPr>
        <w:t xml:space="preserve">Backlog — historias priorizadas pendientes de iniciar.</w:t>
      </w:r>
    </w:p>
    <w:p>
      <w:pPr>
        <w:pStyle w:val="ListParagraph"/>
        <w:numPr>
          <w:ilvl w:val="0"/>
          <w:numId w:val="1"/>
        </w:numPr>
        <w:spacing w:after="80"/>
      </w:pPr>
      <w:r>
        <w:rPr>
          <w:rFonts w:ascii="Calibri" w:cs="Calibri" w:eastAsia="Calibri" w:hAnsi="Calibri"/>
          <w:sz w:val="22"/>
          <w:szCs w:val="22"/>
        </w:rPr>
        <w:t xml:space="preserve">To-Do — historias comprometidas para el sprint en curso.</w:t>
      </w:r>
    </w:p>
    <w:p>
      <w:pPr>
        <w:pStyle w:val="ListParagraph"/>
        <w:numPr>
          <w:ilvl w:val="0"/>
          <w:numId w:val="1"/>
        </w:numPr>
        <w:spacing w:after="80"/>
      </w:pPr>
      <w:r>
        <w:rPr>
          <w:rFonts w:ascii="Calibri" w:cs="Calibri" w:eastAsia="Calibri" w:hAnsi="Calibri"/>
          <w:sz w:val="22"/>
          <w:szCs w:val="22"/>
        </w:rPr>
        <w:t xml:space="preserve">In-Progress — tareas en desarrollo activo.</w:t>
      </w:r>
    </w:p>
    <w:p>
      <w:pPr>
        <w:pStyle w:val="ListParagraph"/>
        <w:numPr>
          <w:ilvl w:val="0"/>
          <w:numId w:val="1"/>
        </w:numPr>
        <w:spacing w:after="80"/>
      </w:pPr>
      <w:r>
        <w:rPr>
          <w:rFonts w:ascii="Calibri" w:cs="Calibri" w:eastAsia="Calibri" w:hAnsi="Calibri"/>
          <w:sz w:val="22"/>
          <w:szCs w:val="22"/>
        </w:rPr>
        <w:t xml:space="preserve">Review — Pull Request abierto, en revisión o esperando checks de CI.</w:t>
      </w:r>
    </w:p>
    <w:p>
      <w:pPr>
        <w:pStyle w:val="ListParagraph"/>
        <w:numPr>
          <w:ilvl w:val="0"/>
          <w:numId w:val="1"/>
        </w:numPr>
        <w:spacing w:after="80"/>
      </w:pPr>
      <w:r>
        <w:rPr>
          <w:rFonts w:ascii="Calibri" w:cs="Calibri" w:eastAsia="Calibri" w:hAnsi="Calibri"/>
          <w:sz w:val="22"/>
          <w:szCs w:val="22"/>
        </w:rPr>
        <w:t xml:space="preserve">Done — mergeado a develop y validado contra su criterio de aceptación.</w:t>
      </w:r>
    </w:p>
    <w:p>
      <w:pPr>
        <w:spacing w:after="160"/>
      </w:pPr>
      <w:r>
        <w:rPr>
          <w:rFonts w:ascii="Calibri" w:cs="Calibri" w:eastAsia="Calibri" w:hAnsi="Calibri"/>
          <w:sz w:val="22"/>
          <w:szCs w:val="22"/>
        </w:rPr>
        <w:t xml:space="preserve">Cada tarjeta del board corresponde a una tarea del Sprint Backlog (ver Planeación Scrum, sección 7) y se mueve de columna conforme avanza el flujo Code → Build → Test → Review definido en el ciclo DevOps de este documento.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Página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de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0E7C7B"/>
        <w:sz w:val="16"/>
        <w:szCs w:val="16"/>
      </w:rPr>
      <w:t xml:space="preserve">Plan DevOps del Proyecto Móvil — TechCare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2026-09-17T21:49:51.128Z</dcterms:created>
  <dcterms:modified xsi:type="dcterms:W3CDTF">2026-09-17T21:49:51.128Z</dcterms:modified>
</cp:coreProperties>
</file>

<file path=docProps/custom.xml><?xml version="1.0" encoding="utf-8"?>
<Properties xmlns="http://schemas.openxmlformats.org/officeDocument/2006/custom-properties" xmlns:vt="http://schemas.openxmlformats.org/officeDocument/2006/docPropsVTypes"/>
</file>