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3A07DE">
      <w:pPr>
        <w:ind w:left="420" w:hanging="420"/>
        <w:jc w:val="center"/>
        <w:rPr>
          <w:rFonts w:hint="eastAsia" w:ascii="华文中宋" w:hAnsi="华文中宋" w:eastAsia="华文中宋"/>
          <w:sz w:val="36"/>
          <w:szCs w:val="36"/>
        </w:rPr>
      </w:pPr>
      <w:r>
        <w:rPr>
          <w:rFonts w:hint="eastAsia" w:ascii="华文中宋" w:hAnsi="华文中宋" w:eastAsia="华文中宋"/>
          <w:sz w:val="36"/>
          <w:szCs w:val="36"/>
        </w:rPr>
        <w:t>产品研发部网络安全自查报告</w:t>
      </w:r>
    </w:p>
    <w:p w14:paraId="60B2A64F">
      <w:pPr>
        <w:pStyle w:val="31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系统概况（一句话）</w:t>
      </w:r>
    </w:p>
    <w:p w14:paraId="725CE6D4">
      <w:pPr>
        <w:pStyle w:val="31"/>
        <w:ind w:left="42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（1）系统名称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 xml:space="preserve"> ：生产资源管理系统</w:t>
      </w:r>
    </w:p>
    <w:p w14:paraId="5A50F442">
      <w:pPr>
        <w:pStyle w:val="31"/>
        <w:ind w:left="42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（2）系统主要功能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人员、车辆、异常驾驶行为管理</w:t>
      </w:r>
    </w:p>
    <w:p w14:paraId="6D03AE55">
      <w:pPr>
        <w:pStyle w:val="31"/>
        <w:ind w:left="42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（3）系统开发、上线时间节点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2025年6月</w:t>
      </w:r>
    </w:p>
    <w:p w14:paraId="56F618D0">
      <w:pPr>
        <w:pStyle w:val="31"/>
        <w:ind w:left="42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（4）用户对象，用户数量等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生产资源相关管理人员，目前用户数量34</w:t>
      </w:r>
    </w:p>
    <w:p w14:paraId="5B858C51">
      <w:pPr>
        <w:pStyle w:val="31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系统部署情况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614"/>
        <w:gridCol w:w="1202"/>
        <w:gridCol w:w="1473"/>
        <w:gridCol w:w="1149"/>
        <w:gridCol w:w="999"/>
        <w:gridCol w:w="585"/>
        <w:gridCol w:w="885"/>
        <w:gridCol w:w="1178"/>
      </w:tblGrid>
      <w:tr w14:paraId="0CEBD704">
        <w:trPr>
          <w:trHeight w:val="372" w:hRule="atLeast"/>
        </w:trPr>
        <w:tc>
          <w:tcPr>
            <w:tcW w:w="256" w:type="pct"/>
            <w:vAlign w:val="center"/>
          </w:tcPr>
          <w:p w14:paraId="2E822461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序号</w:t>
            </w:r>
          </w:p>
        </w:tc>
        <w:tc>
          <w:tcPr>
            <w:tcW w:w="360" w:type="pct"/>
            <w:vAlign w:val="center"/>
          </w:tcPr>
          <w:p w14:paraId="0CEF0BCD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部署环境</w:t>
            </w:r>
          </w:p>
        </w:tc>
        <w:tc>
          <w:tcPr>
            <w:tcW w:w="705" w:type="pct"/>
            <w:vAlign w:val="center"/>
          </w:tcPr>
          <w:p w14:paraId="1DF64578">
            <w:pPr>
              <w:widowControl/>
              <w:jc w:val="center"/>
              <w:rPr>
                <w:rFonts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服务器名</w:t>
            </w:r>
          </w:p>
        </w:tc>
        <w:tc>
          <w:tcPr>
            <w:tcW w:w="864" w:type="pct"/>
            <w:vAlign w:val="center"/>
          </w:tcPr>
          <w:p w14:paraId="0BD3E0E4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主机名</w:t>
            </w:r>
          </w:p>
        </w:tc>
        <w:tc>
          <w:tcPr>
            <w:tcW w:w="674" w:type="pct"/>
            <w:vAlign w:val="center"/>
          </w:tcPr>
          <w:p w14:paraId="5A674B91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内网IP</w:t>
            </w:r>
          </w:p>
        </w:tc>
        <w:tc>
          <w:tcPr>
            <w:tcW w:w="586" w:type="pct"/>
            <w:vAlign w:val="center"/>
          </w:tcPr>
          <w:p w14:paraId="5CEA442A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公网IP</w:t>
            </w:r>
          </w:p>
        </w:tc>
        <w:tc>
          <w:tcPr>
            <w:tcW w:w="343" w:type="pct"/>
            <w:vAlign w:val="center"/>
          </w:tcPr>
          <w:p w14:paraId="5B452413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CPU分配(核)</w:t>
            </w:r>
          </w:p>
        </w:tc>
        <w:tc>
          <w:tcPr>
            <w:tcW w:w="519" w:type="pct"/>
            <w:vAlign w:val="center"/>
          </w:tcPr>
          <w:p w14:paraId="47CAD11E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内存分配（GB）</w:t>
            </w:r>
          </w:p>
        </w:tc>
        <w:tc>
          <w:tcPr>
            <w:tcW w:w="690" w:type="pct"/>
            <w:vAlign w:val="center"/>
          </w:tcPr>
          <w:p w14:paraId="4AC544C3">
            <w:pPr>
              <w:widowControl/>
              <w:jc w:val="center"/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 w:val="22"/>
                <w14:ligatures w14:val="none"/>
              </w:rPr>
              <w:t>磁盘分配（GB/TB）</w:t>
            </w:r>
          </w:p>
        </w:tc>
      </w:tr>
      <w:tr w14:paraId="305887EA">
        <w:trPr>
          <w:trHeight w:val="372" w:hRule="atLeast"/>
        </w:trPr>
        <w:tc>
          <w:tcPr>
            <w:tcW w:w="256" w:type="pct"/>
          </w:tcPr>
          <w:p w14:paraId="76523025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360" w:type="pct"/>
            <w:vAlign w:val="center"/>
          </w:tcPr>
          <w:p w14:paraId="45AA46CD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正式环境</w:t>
            </w:r>
          </w:p>
        </w:tc>
        <w:tc>
          <w:tcPr>
            <w:tcW w:w="705" w:type="pct"/>
            <w:vAlign w:val="center"/>
          </w:tcPr>
          <w:p w14:paraId="196348D2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:lang w:val="en-US" w:eastAsia="zh-CN"/>
                <w14:ligatures w14:val="none"/>
              </w:rPr>
              <w:t>生产资源管理平台应用服务器</w:t>
            </w:r>
          </w:p>
          <w:p w14:paraId="4EA476B0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64" w:type="pct"/>
            <w:vAlign w:val="center"/>
          </w:tcPr>
          <w:p w14:paraId="166A2DA9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suog-PRMP-web</w:t>
            </w:r>
          </w:p>
        </w:tc>
        <w:tc>
          <w:tcPr>
            <w:tcW w:w="674" w:type="pct"/>
            <w:vAlign w:val="center"/>
          </w:tcPr>
          <w:p w14:paraId="02665935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86" w:type="pct"/>
            <w:vAlign w:val="center"/>
          </w:tcPr>
          <w:p w14:paraId="6FD6C106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43" w:type="pct"/>
            <w:vAlign w:val="center"/>
          </w:tcPr>
          <w:p w14:paraId="5836F563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  <w:t>8</w:t>
            </w:r>
          </w:p>
        </w:tc>
        <w:tc>
          <w:tcPr>
            <w:tcW w:w="519" w:type="pct"/>
            <w:vAlign w:val="center"/>
          </w:tcPr>
          <w:p w14:paraId="2B78EB32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  <w:t>8</w:t>
            </w:r>
          </w:p>
        </w:tc>
        <w:tc>
          <w:tcPr>
            <w:tcW w:w="690" w:type="pct"/>
            <w:vAlign w:val="center"/>
          </w:tcPr>
          <w:p w14:paraId="58E3A5B2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  <w:t>500</w:t>
            </w:r>
          </w:p>
        </w:tc>
      </w:tr>
      <w:tr w14:paraId="7254E5AB">
        <w:trPr>
          <w:trHeight w:val="372" w:hRule="atLeast"/>
        </w:trPr>
        <w:tc>
          <w:tcPr>
            <w:tcW w:w="256" w:type="pct"/>
          </w:tcPr>
          <w:p w14:paraId="15DD764B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360" w:type="pct"/>
            <w:vAlign w:val="center"/>
          </w:tcPr>
          <w:p w14:paraId="12963EA5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正式环境</w:t>
            </w:r>
          </w:p>
        </w:tc>
        <w:tc>
          <w:tcPr>
            <w:tcW w:w="705" w:type="pct"/>
            <w:vAlign w:val="center"/>
          </w:tcPr>
          <w:p w14:paraId="01D079C3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:lang w:val="en-US" w:eastAsia="zh-CN"/>
                <w14:ligatures w14:val="none"/>
              </w:rPr>
              <w:t>生产资源管理平台数据库服务器</w:t>
            </w:r>
          </w:p>
          <w:p w14:paraId="4F62E536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64" w:type="pct"/>
            <w:vAlign w:val="center"/>
          </w:tcPr>
          <w:p w14:paraId="20003437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suog-PRMP-db</w:t>
            </w:r>
          </w:p>
        </w:tc>
        <w:tc>
          <w:tcPr>
            <w:tcW w:w="674" w:type="pct"/>
            <w:vAlign w:val="center"/>
          </w:tcPr>
          <w:p w14:paraId="42DFF587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86" w:type="pct"/>
            <w:vAlign w:val="center"/>
          </w:tcPr>
          <w:p w14:paraId="5769FABF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43" w:type="pct"/>
            <w:vAlign w:val="center"/>
          </w:tcPr>
          <w:p w14:paraId="350A14AB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519" w:type="pct"/>
            <w:vAlign w:val="center"/>
          </w:tcPr>
          <w:p w14:paraId="24DB03D4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  <w:t>16</w:t>
            </w:r>
          </w:p>
        </w:tc>
        <w:tc>
          <w:tcPr>
            <w:tcW w:w="690" w:type="pct"/>
            <w:vAlign w:val="center"/>
          </w:tcPr>
          <w:p w14:paraId="012E8FF2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  <w:t>300</w:t>
            </w:r>
          </w:p>
        </w:tc>
      </w:tr>
      <w:tr w14:paraId="03CD2859">
        <w:trPr>
          <w:trHeight w:val="372" w:hRule="atLeast"/>
        </w:trPr>
        <w:tc>
          <w:tcPr>
            <w:tcW w:w="256" w:type="pct"/>
          </w:tcPr>
          <w:p w14:paraId="38741E9C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360" w:type="pct"/>
            <w:vAlign w:val="center"/>
          </w:tcPr>
          <w:p w14:paraId="4CC83439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  <w:t>测试环境</w:t>
            </w:r>
          </w:p>
        </w:tc>
        <w:tc>
          <w:tcPr>
            <w:tcW w:w="705" w:type="pct"/>
            <w:vAlign w:val="center"/>
          </w:tcPr>
          <w:p w14:paraId="33B930DB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kern w:val="0"/>
                <w:sz w:val="20"/>
                <w:szCs w:val="20"/>
                <w:lang w:val="en-US" w:eastAsia="zh-CN"/>
                <w14:ligatures w14:val="none"/>
              </w:rPr>
              <w:t>生产资源管理平台测试服务器</w:t>
            </w:r>
          </w:p>
          <w:p w14:paraId="3DFBB826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64" w:type="pct"/>
            <w:vAlign w:val="center"/>
          </w:tcPr>
          <w:p w14:paraId="7CD465E3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/>
              </w:rPr>
              <w:t>suog-PRMP-test</w:t>
            </w:r>
          </w:p>
        </w:tc>
        <w:tc>
          <w:tcPr>
            <w:tcW w:w="674" w:type="pct"/>
            <w:vAlign w:val="center"/>
          </w:tcPr>
          <w:p w14:paraId="7B55BEBB">
            <w:pPr>
              <w:widowControl/>
              <w:jc w:val="center"/>
              <w:rPr>
                <w:rFonts w:hint="eastAsia" w:ascii="仿宋" w:hAnsi="仿宋" w:eastAsia="仿宋" w:cs="宋体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586" w:type="pct"/>
            <w:vAlign w:val="center"/>
          </w:tcPr>
          <w:p w14:paraId="0B2AF079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43" w:type="pct"/>
            <w:vAlign w:val="center"/>
          </w:tcPr>
          <w:p w14:paraId="2D59D45D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519" w:type="pct"/>
            <w:vAlign w:val="center"/>
          </w:tcPr>
          <w:p w14:paraId="23830326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14:ligatures w14:val="none"/>
              </w:rPr>
              <w:t>16</w:t>
            </w:r>
          </w:p>
        </w:tc>
        <w:tc>
          <w:tcPr>
            <w:tcW w:w="690" w:type="pct"/>
            <w:vAlign w:val="center"/>
          </w:tcPr>
          <w:p w14:paraId="741C7BFA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 w:val="20"/>
                <w:szCs w:val="20"/>
                <w:lang w:val="en-US" w:eastAsia="zh-CN"/>
                <w14:ligatures w14:val="none"/>
              </w:rPr>
              <w:t>400</w:t>
            </w:r>
          </w:p>
        </w:tc>
      </w:tr>
    </w:tbl>
    <w:p w14:paraId="3E30AB0F">
      <w:pPr>
        <w:pStyle w:val="31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系统外网端口配置清单自查</w:t>
      </w:r>
    </w:p>
    <w:p w14:paraId="088E67D1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07FB8B58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2C660796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061396B9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14BA29A4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1B397BE9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08F5C0AB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p w14:paraId="22C31D41">
      <w:pPr>
        <w:pStyle w:val="31"/>
        <w:widowControl w:val="0"/>
        <w:numPr>
          <w:numId w:val="0"/>
        </w:numPr>
        <w:contextualSpacing/>
        <w:jc w:val="both"/>
        <w:rPr>
          <w:rFonts w:hint="eastAsia" w:ascii="仿宋" w:hAnsi="仿宋" w:eastAsia="仿宋"/>
          <w:b/>
          <w:bCs/>
          <w:sz w:val="28"/>
          <w:szCs w:val="28"/>
        </w:rPr>
      </w:pPr>
    </w:p>
    <w:tbl>
      <w:tblPr>
        <w:tblStyle w:val="15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1390"/>
        <w:gridCol w:w="933"/>
        <w:gridCol w:w="1133"/>
        <w:gridCol w:w="827"/>
        <w:gridCol w:w="674"/>
        <w:gridCol w:w="520"/>
        <w:gridCol w:w="870"/>
        <w:gridCol w:w="827"/>
        <w:gridCol w:w="828"/>
      </w:tblGrid>
      <w:tr w14:paraId="0C6D3621">
        <w:trPr>
          <w:trHeight w:val="270" w:hRule="atLeast"/>
        </w:trPr>
        <w:tc>
          <w:tcPr>
            <w:tcW w:w="3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B883C6F">
            <w:pPr>
              <w:widowControl/>
              <w:jc w:val="center"/>
              <w:rPr>
                <w:rFonts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序号</w:t>
            </w:r>
          </w:p>
        </w:tc>
        <w:tc>
          <w:tcPr>
            <w:tcW w:w="81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835A4D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服务器内网IP</w:t>
            </w:r>
          </w:p>
        </w:tc>
        <w:tc>
          <w:tcPr>
            <w:tcW w:w="547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E2BE5A3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服务器公网IP</w:t>
            </w:r>
          </w:p>
        </w:tc>
        <w:tc>
          <w:tcPr>
            <w:tcW w:w="664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5155164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服务器用途</w:t>
            </w:r>
          </w:p>
        </w:tc>
        <w:tc>
          <w:tcPr>
            <w:tcW w:w="48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E0457D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部署环境</w:t>
            </w:r>
          </w:p>
        </w:tc>
        <w:tc>
          <w:tcPr>
            <w:tcW w:w="39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FD6B648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端口号</w:t>
            </w:r>
          </w:p>
        </w:tc>
        <w:tc>
          <w:tcPr>
            <w:tcW w:w="30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B1BDB3E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协议</w:t>
            </w:r>
          </w:p>
        </w:tc>
        <w:tc>
          <w:tcPr>
            <w:tcW w:w="51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6B6D9BA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内网/外网</w:t>
            </w:r>
          </w:p>
        </w:tc>
        <w:tc>
          <w:tcPr>
            <w:tcW w:w="48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FCB8651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端口用途</w:t>
            </w:r>
          </w:p>
        </w:tc>
        <w:tc>
          <w:tcPr>
            <w:tcW w:w="48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DECB1C8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启用状态</w:t>
            </w:r>
          </w:p>
        </w:tc>
      </w:tr>
      <w:tr w14:paraId="204E4B86">
        <w:trPr>
          <w:trHeight w:val="540" w:hRule="atLeast"/>
        </w:trPr>
        <w:tc>
          <w:tcPr>
            <w:tcW w:w="305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4C235C0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1</w:t>
            </w:r>
          </w:p>
        </w:tc>
        <w:tc>
          <w:tcPr>
            <w:tcW w:w="815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186B3C8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172.16.193.125</w:t>
            </w:r>
          </w:p>
          <w:p w14:paraId="3994F592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54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29DAE51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-</w:t>
            </w:r>
          </w:p>
        </w:tc>
        <w:tc>
          <w:tcPr>
            <w:tcW w:w="664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6352FD2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应用服务器</w:t>
            </w:r>
          </w:p>
        </w:tc>
        <w:tc>
          <w:tcPr>
            <w:tcW w:w="485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784F54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生产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环境</w:t>
            </w:r>
          </w:p>
        </w:tc>
        <w:tc>
          <w:tcPr>
            <w:tcW w:w="39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F87FA4B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13000</w:t>
            </w:r>
          </w:p>
        </w:tc>
        <w:tc>
          <w:tcPr>
            <w:tcW w:w="30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E99F29A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http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s</w:t>
            </w:r>
          </w:p>
        </w:tc>
        <w:tc>
          <w:tcPr>
            <w:tcW w:w="51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2FCD23D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内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网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81A5544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545C2C8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启用</w:t>
            </w:r>
          </w:p>
        </w:tc>
      </w:tr>
      <w:tr w14:paraId="4ECD1D7E">
        <w:trPr>
          <w:trHeight w:val="270" w:hRule="atLeast"/>
        </w:trPr>
        <w:tc>
          <w:tcPr>
            <w:tcW w:w="305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57FA605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3</w:t>
            </w:r>
          </w:p>
        </w:tc>
        <w:tc>
          <w:tcPr>
            <w:tcW w:w="81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7C4BC1C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172.16.193.126</w:t>
            </w:r>
          </w:p>
          <w:p w14:paraId="2D10D261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9638E6E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-</w:t>
            </w:r>
          </w:p>
        </w:tc>
        <w:tc>
          <w:tcPr>
            <w:tcW w:w="66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B5BFED4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数据库服务器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34C0860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生产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环境</w:t>
            </w:r>
          </w:p>
        </w:tc>
        <w:tc>
          <w:tcPr>
            <w:tcW w:w="39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E9FA01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30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928DBDE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51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F87B5E0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4595799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28260EC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</w:tr>
      <w:tr w14:paraId="5F254D1E">
        <w:trPr>
          <w:trHeight w:val="270" w:hRule="atLeast"/>
        </w:trPr>
        <w:tc>
          <w:tcPr>
            <w:tcW w:w="305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DF149DC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4</w:t>
            </w:r>
          </w:p>
        </w:tc>
        <w:tc>
          <w:tcPr>
            <w:tcW w:w="81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AB43A8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172.16.216.40</w:t>
            </w:r>
          </w:p>
        </w:tc>
        <w:tc>
          <w:tcPr>
            <w:tcW w:w="547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14F497D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-</w:t>
            </w:r>
          </w:p>
        </w:tc>
        <w:tc>
          <w:tcPr>
            <w:tcW w:w="66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9C328DD">
            <w:pPr>
              <w:widowControl/>
              <w:jc w:val="center"/>
              <w:rPr>
                <w:rFonts w:hint="default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测试服务器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0361DB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测试环境</w:t>
            </w:r>
          </w:p>
        </w:tc>
        <w:tc>
          <w:tcPr>
            <w:tcW w:w="39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FCDD18B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14000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30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ECAA2B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http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s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51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3492A50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内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网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8E8E7BF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  <w:tc>
          <w:tcPr>
            <w:tcW w:w="48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0F7C6E">
            <w:pPr>
              <w:widowControl/>
              <w:jc w:val="center"/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</w:pP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:lang w:val="en-US" w:eastAsia="zh-CN"/>
                <w14:ligatures w14:val="none"/>
              </w:rPr>
              <w:t>启用</w:t>
            </w:r>
            <w:r>
              <w:rPr>
                <w:rFonts w:hint="eastAsia" w:ascii="仿宋" w:hAnsi="仿宋" w:eastAsia="仿宋" w:cs="宋体"/>
                <w:color w:val="000000"/>
                <w:kern w:val="0"/>
                <w:szCs w:val="21"/>
                <w14:ligatures w14:val="none"/>
              </w:rPr>
              <w:t>　</w:t>
            </w:r>
          </w:p>
        </w:tc>
      </w:tr>
    </w:tbl>
    <w:p w14:paraId="429C2665">
      <w:pPr>
        <w:rPr>
          <w:rFonts w:hint="eastAsia" w:ascii="仿宋" w:hAnsi="仿宋" w:eastAsia="仿宋"/>
          <w:b/>
          <w:bCs/>
          <w:sz w:val="28"/>
          <w:szCs w:val="28"/>
        </w:rPr>
      </w:pPr>
    </w:p>
    <w:p w14:paraId="72A20ADC">
      <w:pPr>
        <w:pStyle w:val="31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重大网络安全风险项资产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"/>
        <w:gridCol w:w="764"/>
        <w:gridCol w:w="7326"/>
      </w:tblGrid>
      <w:tr w14:paraId="1C73E6B9">
        <w:tc>
          <w:tcPr>
            <w:tcW w:w="557" w:type="dxa"/>
          </w:tcPr>
          <w:p w14:paraId="464730E8">
            <w:pPr>
              <w:jc w:val="center"/>
              <w:rPr>
                <w:rFonts w:hint="eastAsia"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1922" w:type="dxa"/>
          </w:tcPr>
          <w:p w14:paraId="342C0102">
            <w:pPr>
              <w:jc w:val="center"/>
              <w:rPr>
                <w:rFonts w:hint="eastAsia"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</w:rPr>
              <w:t>问题</w:t>
            </w:r>
          </w:p>
        </w:tc>
        <w:tc>
          <w:tcPr>
            <w:tcW w:w="5993" w:type="dxa"/>
          </w:tcPr>
          <w:p w14:paraId="172F8392">
            <w:pPr>
              <w:jc w:val="center"/>
              <w:rPr>
                <w:rFonts w:hint="eastAsia" w:ascii="仿宋" w:hAnsi="仿宋" w:eastAsia="仿宋"/>
                <w:b/>
                <w:bCs/>
                <w:sz w:val="24"/>
                <w:szCs w:val="24"/>
              </w:rPr>
            </w:pPr>
            <w:r>
              <w:rPr>
                <w:rFonts w:hint="eastAsia" w:ascii="仿宋" w:hAnsi="仿宋" w:eastAsia="仿宋"/>
                <w:b/>
                <w:bCs/>
                <w:sz w:val="24"/>
                <w:szCs w:val="24"/>
              </w:rPr>
              <w:t>核查项点（每项均需截图证明）</w:t>
            </w:r>
          </w:p>
        </w:tc>
      </w:tr>
      <w:tr w14:paraId="7467B8B9">
        <w:tc>
          <w:tcPr>
            <w:tcW w:w="557" w:type="dxa"/>
          </w:tcPr>
          <w:p w14:paraId="4ACBE987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1</w:t>
            </w:r>
          </w:p>
        </w:tc>
        <w:tc>
          <w:tcPr>
            <w:tcW w:w="1922" w:type="dxa"/>
          </w:tcPr>
          <w:p w14:paraId="0BCABD08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外网页面访问</w:t>
            </w:r>
          </w:p>
        </w:tc>
        <w:tc>
          <w:tcPr>
            <w:tcW w:w="5993" w:type="dxa"/>
          </w:tcPr>
          <w:p w14:paraId="496B8893">
            <w:pPr>
              <w:pStyle w:val="31"/>
              <w:numPr>
                <w:ilvl w:val="0"/>
                <w:numId w:val="2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除小程序、APP之外，不应存在公网可访问的页面</w:t>
            </w:r>
          </w:p>
          <w:p w14:paraId="7BC29F57">
            <w:pPr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截图：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本系统无公网地址，未对公网开放</w:t>
            </w:r>
            <w:bookmarkStart w:id="0" w:name="_GoBack"/>
            <w:bookmarkEnd w:id="0"/>
          </w:p>
        </w:tc>
      </w:tr>
      <w:tr w14:paraId="31B5A196">
        <w:tc>
          <w:tcPr>
            <w:tcW w:w="557" w:type="dxa"/>
          </w:tcPr>
          <w:p w14:paraId="2567156F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2</w:t>
            </w:r>
          </w:p>
        </w:tc>
        <w:tc>
          <w:tcPr>
            <w:tcW w:w="1922" w:type="dxa"/>
          </w:tcPr>
          <w:p w14:paraId="76853E3D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弱身份验证</w:t>
            </w:r>
          </w:p>
        </w:tc>
        <w:tc>
          <w:tcPr>
            <w:tcW w:w="5993" w:type="dxa"/>
          </w:tcPr>
          <w:p w14:paraId="79756502">
            <w:pPr>
              <w:pStyle w:val="31"/>
              <w:numPr>
                <w:ilvl w:val="0"/>
                <w:numId w:val="3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不应存在前端框架硬编码写入账号密码问题</w:t>
            </w:r>
          </w:p>
          <w:p w14:paraId="70B1B18E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截图：</w:t>
            </w:r>
            <w:r>
              <w:drawing>
                <wp:inline distT="0" distB="0" distL="114300" distR="114300">
                  <wp:extent cx="3260725" cy="2411730"/>
                  <wp:effectExtent l="0" t="0" r="1587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241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616AECC">
        <w:tc>
          <w:tcPr>
            <w:tcW w:w="557" w:type="dxa"/>
          </w:tcPr>
          <w:p w14:paraId="2004B4A3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3</w:t>
            </w:r>
          </w:p>
        </w:tc>
        <w:tc>
          <w:tcPr>
            <w:tcW w:w="1922" w:type="dxa"/>
          </w:tcPr>
          <w:p w14:paraId="643B3D7C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登录功能可暴力破解</w:t>
            </w:r>
          </w:p>
        </w:tc>
        <w:tc>
          <w:tcPr>
            <w:tcW w:w="5993" w:type="dxa"/>
          </w:tcPr>
          <w:p w14:paraId="4787D932">
            <w:pPr>
              <w:pStyle w:val="31"/>
              <w:numPr>
                <w:ilvl w:val="0"/>
                <w:numId w:val="4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是否部署了登录验证（验证码/短信验证）</w:t>
            </w:r>
          </w:p>
          <w:p w14:paraId="4C7E654D">
            <w:pPr>
              <w:pStyle w:val="31"/>
              <w:numPr>
                <w:numId w:val="0"/>
              </w:numPr>
              <w:ind w:leftChars="0"/>
              <w:rPr>
                <w:rFonts w:ascii="仿宋" w:hAnsi="仿宋" w:eastAsia="仿宋"/>
                <w:sz w:val="24"/>
                <w:szCs w:val="24"/>
              </w:rPr>
            </w:pPr>
            <w:r>
              <w:drawing>
                <wp:inline distT="0" distB="0" distL="114300" distR="114300">
                  <wp:extent cx="4626610" cy="4345305"/>
                  <wp:effectExtent l="0" t="0" r="21590" b="2349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10" cy="434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7F3E7">
            <w:pPr>
              <w:pStyle w:val="31"/>
              <w:numPr>
                <w:ilvl w:val="0"/>
                <w:numId w:val="4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是否部署了登录失败限制（登录失败超过5次锁定账号）</w:t>
            </w:r>
          </w:p>
          <w:p w14:paraId="0B65D4B4">
            <w:pPr>
              <w:pStyle w:val="31"/>
              <w:numPr>
                <w:ilvl w:val="0"/>
                <w:numId w:val="4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登录失败提示信息不得为“用户名错误、密码错误”等指向明确的描述，需改为“用户名或密码错误”</w:t>
            </w:r>
          </w:p>
          <w:p w14:paraId="464355EC">
            <w:pPr>
              <w:pStyle w:val="31"/>
              <w:numPr>
                <w:ilvl w:val="0"/>
                <w:numId w:val="4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drawing>
                <wp:inline distT="0" distB="0" distL="114300" distR="114300">
                  <wp:extent cx="4557395" cy="6413500"/>
                  <wp:effectExtent l="0" t="0" r="14605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641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2BCC0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截图：</w:t>
            </w:r>
          </w:p>
        </w:tc>
      </w:tr>
      <w:tr w14:paraId="34883E12">
        <w:tc>
          <w:tcPr>
            <w:tcW w:w="557" w:type="dxa"/>
          </w:tcPr>
          <w:p w14:paraId="7F3C8D90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4</w:t>
            </w:r>
          </w:p>
        </w:tc>
        <w:tc>
          <w:tcPr>
            <w:tcW w:w="1922" w:type="dxa"/>
          </w:tcPr>
          <w:p w14:paraId="687C998E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敏感信息泄露</w:t>
            </w:r>
          </w:p>
        </w:tc>
        <w:tc>
          <w:tcPr>
            <w:tcW w:w="5993" w:type="dxa"/>
          </w:tcPr>
          <w:p w14:paraId="19F3A528">
            <w:pPr>
              <w:pStyle w:val="31"/>
              <w:numPr>
                <w:ilvl w:val="0"/>
                <w:numId w:val="5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公网可访问的URL路径下，不应存在config.js等包含敏感ID、密码信息的文件</w:t>
            </w:r>
          </w:p>
          <w:p w14:paraId="0F1BC5F0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截图：</w:t>
            </w:r>
            <w:r>
              <w:drawing>
                <wp:inline distT="0" distB="0" distL="114300" distR="114300">
                  <wp:extent cx="4709160" cy="997585"/>
                  <wp:effectExtent l="0" t="0" r="15240" b="184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26EF54">
        <w:tc>
          <w:tcPr>
            <w:tcW w:w="557" w:type="dxa"/>
          </w:tcPr>
          <w:p w14:paraId="69C1FDB2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5</w:t>
            </w:r>
          </w:p>
        </w:tc>
        <w:tc>
          <w:tcPr>
            <w:tcW w:w="1922" w:type="dxa"/>
          </w:tcPr>
          <w:p w14:paraId="5E3B6E36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前端代码硬编码泄露敏感信息</w:t>
            </w:r>
          </w:p>
        </w:tc>
        <w:tc>
          <w:tcPr>
            <w:tcW w:w="5993" w:type="dxa"/>
          </w:tcPr>
          <w:p w14:paraId="217B3D80">
            <w:pPr>
              <w:pStyle w:val="31"/>
              <w:numPr>
                <w:ilvl w:val="0"/>
                <w:numId w:val="6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前端代码不应存在明文形式代码写入的用户密码、API密钥、IP地址、手机号码、车牌号码、OAuth令牌等其他敏感信息；</w:t>
            </w:r>
          </w:p>
          <w:p w14:paraId="28FFE788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截图：（开发工具抓包截图）</w:t>
            </w:r>
          </w:p>
          <w:p w14:paraId="7AD2B462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drawing>
                <wp:inline distT="0" distB="0" distL="114300" distR="114300">
                  <wp:extent cx="4582160" cy="5362575"/>
                  <wp:effectExtent l="0" t="0" r="15240" b="222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536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41DBB7E">
        <w:tc>
          <w:tcPr>
            <w:tcW w:w="557" w:type="dxa"/>
          </w:tcPr>
          <w:p w14:paraId="6BB83F02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6</w:t>
            </w:r>
          </w:p>
        </w:tc>
        <w:tc>
          <w:tcPr>
            <w:tcW w:w="1922" w:type="dxa"/>
          </w:tcPr>
          <w:p w14:paraId="7F2CA0A9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明文传输用户名密码</w:t>
            </w:r>
          </w:p>
        </w:tc>
        <w:tc>
          <w:tcPr>
            <w:tcW w:w="5993" w:type="dxa"/>
          </w:tcPr>
          <w:p w14:paraId="062CBA7C">
            <w:pPr>
              <w:pStyle w:val="31"/>
              <w:numPr>
                <w:ilvl w:val="0"/>
                <w:numId w:val="7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用户登录请求中的用户名、用户密码登敏感字段均需要本地JS加密后传输</w:t>
            </w:r>
          </w:p>
          <w:p w14:paraId="1A8EE476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截图：</w:t>
            </w:r>
          </w:p>
          <w:p w14:paraId="6D698741">
            <w:pPr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前端密码加密</w:t>
            </w:r>
          </w:p>
          <w:p w14:paraId="6E1C789D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drawing>
                <wp:inline distT="0" distB="0" distL="114300" distR="114300">
                  <wp:extent cx="4808855" cy="1384935"/>
                  <wp:effectExtent l="0" t="0" r="17145" b="1206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855" cy="138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B5485AF">
        <w:tc>
          <w:tcPr>
            <w:tcW w:w="557" w:type="dxa"/>
          </w:tcPr>
          <w:p w14:paraId="2C65B9C1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8</w:t>
            </w:r>
          </w:p>
        </w:tc>
        <w:tc>
          <w:tcPr>
            <w:tcW w:w="1922" w:type="dxa"/>
          </w:tcPr>
          <w:p w14:paraId="2429ECB3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未启用HTTPS</w:t>
            </w:r>
          </w:p>
        </w:tc>
        <w:tc>
          <w:tcPr>
            <w:tcW w:w="5993" w:type="dxa"/>
          </w:tcPr>
          <w:p w14:paraId="3747E846">
            <w:pPr>
              <w:pStyle w:val="31"/>
              <w:numPr>
                <w:ilvl w:val="0"/>
                <w:numId w:val="8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公网端口启用https协议通信</w:t>
            </w:r>
          </w:p>
          <w:p w14:paraId="776A621F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</w:t>
            </w:r>
          </w:p>
          <w:p w14:paraId="30D97B5B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drawing>
                <wp:inline distT="0" distB="0" distL="114300" distR="114300">
                  <wp:extent cx="4754245" cy="1500505"/>
                  <wp:effectExtent l="0" t="0" r="20955" b="2349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50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BC657EC">
        <w:tc>
          <w:tcPr>
            <w:tcW w:w="557" w:type="dxa"/>
          </w:tcPr>
          <w:p w14:paraId="749986E1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9</w:t>
            </w:r>
          </w:p>
        </w:tc>
        <w:tc>
          <w:tcPr>
            <w:tcW w:w="1922" w:type="dxa"/>
          </w:tcPr>
          <w:p w14:paraId="4505CBC0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为对系统管理员权限进行拆分</w:t>
            </w:r>
          </w:p>
        </w:tc>
        <w:tc>
          <w:tcPr>
            <w:tcW w:w="5993" w:type="dxa"/>
          </w:tcPr>
          <w:p w14:paraId="7DAD489E">
            <w:pPr>
              <w:pStyle w:val="31"/>
              <w:numPr>
                <w:ilvl w:val="0"/>
                <w:numId w:val="9"/>
              </w:num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三级等保要求，需要将超级管理权限拆分为系统管理员、安全管理员、审计管理员；</w:t>
            </w:r>
          </w:p>
          <w:p w14:paraId="0A6668B5">
            <w:pPr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截图</w:t>
            </w: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 xml:space="preserve"> 可以自定义权限组</w:t>
            </w:r>
          </w:p>
          <w:p w14:paraId="487E7C16">
            <w:pPr>
              <w:rPr>
                <w:rFonts w:hint="eastAsia" w:ascii="仿宋" w:hAnsi="仿宋" w:eastAsia="仿宋"/>
                <w:sz w:val="24"/>
                <w:szCs w:val="24"/>
              </w:rPr>
            </w:pPr>
            <w:r>
              <w:drawing>
                <wp:inline distT="0" distB="0" distL="114300" distR="114300">
                  <wp:extent cx="4514850" cy="3564255"/>
                  <wp:effectExtent l="0" t="0" r="6350" b="171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356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9C7B3">
      <w:pPr>
        <w:rPr>
          <w:rFonts w:hint="eastAsia" w:ascii="仿宋" w:hAnsi="仿宋" w:eastAsia="仿宋"/>
          <w:b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altName w:val="汉仪书宋二KW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54194B"/>
    <w:multiLevelType w:val="multilevel"/>
    <w:tmpl w:val="1054194B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B08137F"/>
    <w:multiLevelType w:val="multilevel"/>
    <w:tmpl w:val="2B08137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32180AF2"/>
    <w:multiLevelType w:val="multilevel"/>
    <w:tmpl w:val="32180AF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435D19B4"/>
    <w:multiLevelType w:val="multilevel"/>
    <w:tmpl w:val="435D19B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507306F7"/>
    <w:multiLevelType w:val="multilevel"/>
    <w:tmpl w:val="507306F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51794EC2"/>
    <w:multiLevelType w:val="multilevel"/>
    <w:tmpl w:val="51794EC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52D50518"/>
    <w:multiLevelType w:val="multilevel"/>
    <w:tmpl w:val="52D5051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565F3A09"/>
    <w:multiLevelType w:val="multilevel"/>
    <w:tmpl w:val="565F3A0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595E3EF2"/>
    <w:multiLevelType w:val="multilevel"/>
    <w:tmpl w:val="595E3EF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80E"/>
    <w:rsid w:val="000068C1"/>
    <w:rsid w:val="001801CE"/>
    <w:rsid w:val="0026579F"/>
    <w:rsid w:val="002E17ED"/>
    <w:rsid w:val="003A3C93"/>
    <w:rsid w:val="003F7FC4"/>
    <w:rsid w:val="00452733"/>
    <w:rsid w:val="007577D2"/>
    <w:rsid w:val="00843AD0"/>
    <w:rsid w:val="00A2480E"/>
    <w:rsid w:val="00BE0211"/>
    <w:rsid w:val="00E47448"/>
    <w:rsid w:val="00F92616"/>
    <w:rsid w:val="0EE64C21"/>
    <w:rsid w:val="0F9EA087"/>
    <w:rsid w:val="1FF4253E"/>
    <w:rsid w:val="5EDB66C6"/>
    <w:rsid w:val="5F7BFC5D"/>
    <w:rsid w:val="789B39F2"/>
    <w:rsid w:val="F129C59D"/>
    <w:rsid w:val="F5FE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85858" w:themeColor="text1" w:themeTint="A6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85858" w:themeColor="text1" w:themeTint="A6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85858" w:themeColor="text1" w:themeTint="A6"/>
      <w:spacing w:val="15"/>
      <w:sz w:val="28"/>
      <w:szCs w:val="28"/>
    </w:rPr>
  </w:style>
  <w:style w:type="paragraph" w:styleId="14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6">
    <w:name w:val="Table Grid"/>
    <w:basedOn w:val="1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标题 1 字符"/>
    <w:basedOn w:val="17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uiPriority w:val="9"/>
    <w:rPr>
      <w:rFonts w:cstheme="majorBidi"/>
      <w:color w:val="0F4761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uiPriority w:val="9"/>
    <w:rPr>
      <w:rFonts w:cstheme="majorBidi"/>
      <w:color w:val="0F4761" w:themeColor="accent1" w:themeShade="BF"/>
      <w:sz w:val="24"/>
      <w:szCs w:val="24"/>
    </w:rPr>
  </w:style>
  <w:style w:type="character" w:customStyle="1" w:styleId="23">
    <w:name w:val="标题 6 字符"/>
    <w:basedOn w:val="17"/>
    <w:link w:val="7"/>
    <w:semiHidden/>
    <w:uiPriority w:val="9"/>
    <w:rPr>
      <w:rFonts w:cstheme="majorBidi"/>
      <w:b/>
      <w:bCs/>
      <w:color w:val="0F4761" w:themeColor="accent1" w:themeShade="BF"/>
    </w:rPr>
  </w:style>
  <w:style w:type="character" w:customStyle="1" w:styleId="24">
    <w:name w:val="标题 7 字符"/>
    <w:basedOn w:val="17"/>
    <w:link w:val="8"/>
    <w:semiHidden/>
    <w:uiPriority w:val="9"/>
    <w:rPr>
      <w:rFonts w:cstheme="majorBidi"/>
      <w:b/>
      <w:bCs/>
      <w:color w:val="585858" w:themeColor="text1" w:themeTint="A6"/>
    </w:rPr>
  </w:style>
  <w:style w:type="character" w:customStyle="1" w:styleId="25">
    <w:name w:val="标题 8 字符"/>
    <w:basedOn w:val="17"/>
    <w:link w:val="9"/>
    <w:semiHidden/>
    <w:uiPriority w:val="9"/>
    <w:rPr>
      <w:rFonts w:cstheme="majorBidi"/>
      <w:color w:val="585858" w:themeColor="text1" w:themeTint="A6"/>
    </w:rPr>
  </w:style>
  <w:style w:type="character" w:customStyle="1" w:styleId="26">
    <w:name w:val="标题 9 字符"/>
    <w:basedOn w:val="17"/>
    <w:link w:val="10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7">
    <w:name w:val="标题 字符"/>
    <w:basedOn w:val="17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3"/>
    <w:uiPriority w:val="11"/>
    <w:rPr>
      <w:rFonts w:asciiTheme="majorHAnsi" w:hAnsiTheme="majorHAnsi"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引用 字符"/>
    <w:basedOn w:val="17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0F476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34">
    <w:name w:val="明显引用 字符"/>
    <w:basedOn w:val="17"/>
    <w:link w:val="33"/>
    <w:uiPriority w:val="30"/>
    <w:rPr>
      <w:i/>
      <w:iCs/>
      <w:color w:val="0F4761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0F4761" w:themeColor="accent1" w:themeShade="BF"/>
      <w:spacing w:val="5"/>
    </w:rPr>
  </w:style>
  <w:style w:type="character" w:customStyle="1" w:styleId="36">
    <w:name w:val="页眉 字符"/>
    <w:basedOn w:val="17"/>
    <w:link w:val="12"/>
    <w:uiPriority w:val="99"/>
    <w:rPr>
      <w:sz w:val="18"/>
      <w:szCs w:val="18"/>
    </w:rPr>
  </w:style>
  <w:style w:type="character" w:customStyle="1" w:styleId="37">
    <w:name w:val="页脚 字符"/>
    <w:basedOn w:val="17"/>
    <w:link w:val="11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559</Words>
  <Characters>639</Characters>
  <Lines>71</Lines>
  <Paragraphs>74</Paragraphs>
  <TotalTime>19</TotalTime>
  <ScaleCrop>false</ScaleCrop>
  <LinksUpToDate>false</LinksUpToDate>
  <CharactersWithSpaces>1124</CharactersWithSpaces>
  <Application>WPS Office_6.15.2.8936_F1E327BC-269C-435d-A152-05C5408002CA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2025-07-17T11:09:00Z</dcterms:created>
  <dc:creator>晔宽 陈</dc:creator>
  <cp:lastModifiedBy>郑洪</cp:lastModifiedBy>
  <dcterms:modified xsi:type="dcterms:W3CDTF">2025-07-18T16:32:12Z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2052-6.15.2.8936</vt:lpwstr>
  </property>
  <property fmtid="{D5CDD505-2E9C-101B-9397-08002B2CF9AE}" pid="3" name="ICV">
    <vt:lpwstr>61A658AEA6174F9278FD7968F8580D22_42</vt:lpwstr>
  </property>
</Properties>
</file>