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NDB Scheme — Data Breach Assessment Report</w:t>
      </w:r>
    </w:p>
    <w:p>
      <w:r>
        <w:t>Prepared under Part IIIC of the Privacy Act 1988 (Cth) and the OAIC Notifiable Data Breaches scheme guidelines.</w:t>
      </w:r>
    </w:p>
    <w:p>
      <w:pPr>
        <w:pStyle w:val="Heading1"/>
      </w:pPr>
      <w:r>
        <w:rPr>
          <w:color w:val="185FA5"/>
        </w:rPr>
        <w:t>1. Incident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Organisation</w:t>
            </w:r>
          </w:p>
        </w:tc>
        <w:tc>
          <w:tcPr>
            <w:tcW w:type="dxa" w:w="4320"/>
          </w:tcPr>
          <w:p>
            <w:r>
              <w:t>Riverside Medical Clinic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discovered</w:t>
            </w:r>
          </w:p>
        </w:tc>
        <w:tc>
          <w:tcPr>
            <w:tcW w:type="dxa" w:w="4320"/>
          </w:tcPr>
          <w:p>
            <w:r>
              <w:t>15/05/2026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Assessor</w:t>
            </w:r>
          </w:p>
        </w:tc>
        <w:tc>
          <w:tcPr>
            <w:tcW w:type="dxa" w:w="4320"/>
          </w:tcPr>
          <w:p>
            <w:r>
              <w:t>Arian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</w:t>
            </w:r>
          </w:p>
        </w:tc>
        <w:tc>
          <w:tcPr>
            <w:tcW w:type="dxa" w:w="4320"/>
          </w:tcPr>
          <w:p>
            <w:r>
              <w:t>23/05/2026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Individuals affected (est.)</w:t>
            </w:r>
          </w:p>
        </w:tc>
        <w:tc>
          <w:tcPr>
            <w:tcW w:type="dxa" w:w="4320"/>
          </w:tcPr>
          <w:p>
            <w:r>
              <w:t>1200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types involved</w:t>
            </w:r>
          </w:p>
        </w:tc>
        <w:tc>
          <w:tcPr>
            <w:tcW w:type="dxa" w:w="4320"/>
          </w:tcPr>
          <w:p>
            <w:r>
              <w:t>Full names, dates of birth, Medicare numbers, medical diagnoses, prescription history, home addresses</w:t>
            </w:r>
          </w:p>
        </w:tc>
      </w:tr>
    </w:tbl>
    <w:p/>
    <w:p>
      <w:pPr>
        <w:pStyle w:val="Heading1"/>
      </w:pPr>
      <w:r>
        <w:rPr>
          <w:color w:val="185FA5"/>
        </w:rPr>
        <w:t>2. Incident description</w:t>
      </w:r>
    </w:p>
    <w:p>
      <w:r>
        <w:t>Ransomware attack encrypted the patient management system. Investigation confirmed attackers exfiltrated a database backup prior to encryption.</w:t>
      </w:r>
    </w:p>
    <w:p>
      <w:pPr>
        <w:pStyle w:val="Heading1"/>
      </w:pPr>
      <w:r>
        <w:rPr>
          <w:color w:val="185FA5"/>
        </w:rPr>
        <w:t>3. NDB eligibility assessment</w:t>
      </w:r>
    </w:p>
    <w:p>
      <w:r>
        <w:t>The following gates were applied in accordance with s26WE of the Privacy Act 1988 (Cth).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Reasoning</w:t>
            </w:r>
          </w:p>
        </w:tc>
      </w:tr>
      <w:tr>
        <w:tc>
          <w:tcPr>
            <w:tcW w:type="dxa" w:w="2160"/>
          </w:tcPr>
          <w:p>
            <w:r>
              <w:t>Gate 1</w:t>
            </w:r>
          </w:p>
        </w:tc>
        <w:tc>
          <w:tcPr>
            <w:tcW w:type="dxa" w:w="2160"/>
          </w:tcPr>
          <w:p>
            <w:r>
              <w:t>Eligible data breach</w:t>
            </w:r>
          </w:p>
        </w:tc>
        <w:tc>
          <w:tcPr>
            <w:tcW w:type="dxa" w:w="2160"/>
          </w:tcPr>
          <w:p>
            <w:r>
              <w:rPr>
                <w:color w:val="0F6E56"/>
              </w:rPr>
              <w:t>PASSED</w:t>
            </w:r>
          </w:p>
        </w:tc>
        <w:tc>
          <w:tcPr>
            <w:tcW w:type="dxa" w:w="2160"/>
          </w:tcPr>
          <w:p>
            <w:r>
              <w:t>Unauthorised access/disclosure/loss of personal information confirmed.</w:t>
            </w:r>
          </w:p>
        </w:tc>
      </w:tr>
      <w:tr>
        <w:tc>
          <w:tcPr>
            <w:tcW w:type="dxa" w:w="2160"/>
          </w:tcPr>
          <w:p>
            <w:r>
              <w:t>Gate 2</w:t>
            </w:r>
          </w:p>
        </w:tc>
        <w:tc>
          <w:tcPr>
            <w:tcW w:type="dxa" w:w="2160"/>
          </w:tcPr>
          <w:p>
            <w:r>
              <w:t>Likely serious harm</w:t>
            </w:r>
          </w:p>
        </w:tc>
        <w:tc>
          <w:tcPr>
            <w:tcW w:type="dxa" w:w="2160"/>
          </w:tcPr>
          <w:p>
            <w:r>
              <w:rPr>
                <w:color w:val="0F6E56"/>
              </w:rPr>
              <w:t>PASSED</w:t>
            </w:r>
          </w:p>
        </w:tc>
        <w:tc>
          <w:tcPr>
            <w:tcW w:type="dxa" w:w="2160"/>
          </w:tcPr>
          <w:p>
            <w:r>
              <w:t>5 of 6 harm factors present. A reasonable person would likely expect serious harm.</w:t>
            </w:r>
          </w:p>
        </w:tc>
      </w:tr>
      <w:tr>
        <w:tc>
          <w:tcPr>
            <w:tcW w:type="dxa" w:w="2160"/>
          </w:tcPr>
          <w:p>
            <w:r>
              <w:t>Gate 3</w:t>
            </w:r>
          </w:p>
        </w:tc>
        <w:tc>
          <w:tcPr>
            <w:tcW w:type="dxa" w:w="2160"/>
          </w:tcPr>
          <w:p>
            <w:r>
              <w:t>No exemption applies</w:t>
            </w:r>
          </w:p>
        </w:tc>
        <w:tc>
          <w:tcPr>
            <w:tcW w:type="dxa" w:w="2160"/>
          </w:tcPr>
          <w:p>
            <w:r>
              <w:rPr>
                <w:color w:val="0F6E56"/>
              </w:rPr>
              <w:t>PASSED</w:t>
            </w:r>
          </w:p>
        </w:tc>
        <w:tc>
          <w:tcPr>
            <w:tcW w:type="dxa" w:w="2160"/>
          </w:tcPr>
          <w:p>
            <w:r>
              <w:t>No exemptions identified.</w:t>
            </w:r>
          </w:p>
        </w:tc>
      </w:tr>
    </w:tbl>
    <w:p/>
    <w:p>
      <w:pPr>
        <w:pStyle w:val="Heading1"/>
      </w:pPr>
      <w:r>
        <w:rPr>
          <w:color w:val="185FA5"/>
        </w:rPr>
        <w:t>4. Harm severity rating</w:t>
      </w:r>
    </w:p>
    <w:p>
      <w:r>
        <w:rPr>
          <w:b/>
          <w:color w:val="A32D2D"/>
          <w:sz w:val="26"/>
        </w:rPr>
        <w:t>Critical  (5/6 harm factors present)</w:t>
      </w:r>
    </w:p>
    <w:p>
      <w:pPr>
        <w:pStyle w:val="Heading1"/>
      </w:pPr>
      <w:r>
        <w:rPr>
          <w:color w:val="185FA5"/>
        </w:rPr>
        <w:t>5. Outcome and required action</w:t>
      </w:r>
    </w:p>
    <w:p>
      <w:r>
        <w:rPr>
          <w:b/>
          <w:color w:val="A32D2D"/>
        </w:rPr>
        <w:t>NOTIFIABLE — all three gates satisfied. Notify OAIC and affected individuals within 30 days.</w:t>
      </w:r>
    </w:p>
    <w:p>
      <w:r>
        <w:t>Required actions:</w:t>
        <w:br/>
        <w:t>1. Notify the Office of the Australian Information Commissioner (OAIC) via the online NDB notification form at oaic.gov.au.</w:t>
        <w:br/>
        <w:t>2. Notify all affected individuals as soon as practicable.</w:t>
        <w:br/>
        <w:t>3. Notification must be completed within 30 days of becoming aware of the eligible data breach (s26WK).</w:t>
        <w:br/>
        <w:t>4. Retain this assessment document as part of your incident record.</w:t>
      </w:r>
    </w:p>
    <w:p>
      <w:pPr>
        <w:pStyle w:val="Heading1"/>
      </w:pPr>
      <w:r>
        <w:rPr>
          <w:color w:val="185FA5"/>
        </w:rPr>
        <w:t>6. Draft OAIC notification statement</w:t>
      </w:r>
    </w:p>
    <w:p>
      <w:r>
        <w:t>The following is a draft notification for review by your legal or privacy team before submission to the OAIC. This is not legal advice.</w:t>
      </w:r>
    </w:p>
    <w:p>
      <w:r>
        <w:t>Riverside Medical Clinic hereby notifies the Office of the Australian Information Commissioner of an eligible data breach discovered on 15/05/2026.</w:t>
        <w:br/>
        <w:br/>
        <w:t>Nature of the breach: Ransomware attack encrypted the patient management system. Investigation confirmed attackers exfiltrated a database backup prior to encryption.</w:t>
        <w:br/>
        <w:br/>
        <w:t>Types of personal information involved: Full names, dates of birth, Medicare numbers, medical diagnoses, prescription history, home addresses</w:t>
        <w:br/>
        <w:br/>
        <w:t>Estimated number of individuals affected: 1200</w:t>
        <w:br/>
        <w:br/>
        <w:t>Steps taken in response: [TO BE COMPLETED — describe containment, investigation, and remediation actions taken.]</w:t>
        <w:br/>
        <w:br/>
        <w:t>Recommended steps for affected individuals: [TO BE COMPLETED — e.g. change passwords, monitor financial accounts, place credit alerts.]</w:t>
      </w:r>
    </w:p>
    <w:p/>
    <w:p>
      <w:r>
        <w:rPr>
          <w:color w:val="888780"/>
          <w:sz w:val="18"/>
        </w:rPr>
        <w:t>DISCLAIMER: This report is generated by an automated assessment tool for educational and portfolio purposes. It does not constitute legal advice. Consult a qualified privacy lawyer or the OAIC guidelines before making any notification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