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 Quantitative Risk Assessment (P-QRA)</w:t>
      </w:r>
    </w:p>
    <w:p>
      <w:pPr>
        <w:pStyle w:val="Subtitle"/>
      </w:pPr>
      <w:r>
        <w:t xml:space="preserve">Ein generalisiertes, barrierebasiertes und unsicherheitssensitives Hazard-Modell für individuelle Alltagsrisiken</w:t>
      </w:r>
    </w:p>
    <w:p>
      <w:pPr>
        <w:pStyle w:val="Author"/>
      </w:pPr>
      <w:r>
        <w:t xml:space="preserve">Arian Berisha</w:t>
      </w:r>
    </w:p>
    <w:p>
      <w:pPr>
        <w:pStyle w:val="Date"/>
      </w:pPr>
      <w:r>
        <w:t xml:space="preserve">Überarbeitete und erweiterte Fassung,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rPr>
          <w:rStyle w:val="SectionNumber"/>
        </w:rPr>
        <w:t xml:space="preserve">1</w:t>
      </w:r>
      <w:r>
        <w:tab/>
      </w:r>
      <w:r>
        <w:t xml:space="preserve">Abstract</w:t>
      </w:r>
    </w:p>
    <w:p>
      <w:pPr>
        <w:pStyle w:val="FirstParagraph"/>
      </w:pPr>
      <w:r>
        <w:t xml:space="preserve">Bestehende Ansätze zur Quantifizierung persönlichen Risikos liefern häufig entweder statische Vergleichswerte ohne Handlungsbezug, domänenspezifische Prognosen ohne gemeinsame Aggregationslogik oder technisch plausible Parameter ohne belastbare empirische Grundlage. Diese Arbeit entwickelt das ursprüngliche Personal-Quantitative-Risk-Assessment-Modell (P-QRA) zu einer generalisierten probabilistischen Risk Engine weiter. Die Gesamtarchitektur verbindet ein individuelles Basisrisiko mit domänenspezifischen Expositionen, empirischen Ereignisraten, lokalen Schutzbarrieren, getrennten Endpunkten und expliziter Unsicherheitspropagation. Mobilität dient als Referenzimplementierung; weitere</w:t>
      </w:r>
      <w:r>
        <w:t xml:space="preserve"> </w:t>
      </w:r>
      <w:r>
        <w:rPr>
          <w:i/>
          <w:iCs/>
        </w:rPr>
        <w:t xml:space="preserve">Domain Model Adapters</w:t>
      </w:r>
      <w:r>
        <w:t xml:space="preserve"> </w:t>
      </w:r>
      <w:r>
        <w:t xml:space="preserve">können Arbeitsunfälle, Sportverletzungen, Brände, Naturgefahren oder bewaffnete Konflikte integrieren, sofern ein Evidence Gate hinsichtlich Population, Exposition, Endpunkt, Ereignisrate, Übertragbarkeit und Unsicherheit erfüllt ist.</w:t>
      </w:r>
    </w:p>
    <w:p>
      <w:pPr>
        <w:pStyle w:val="BodyText"/>
      </w:pPr>
      <w:r>
        <w:t xml:space="preserve">Die ursprüngliche Tages-Hazard-Formulierung bleibt die übergeordnete Aggregationsarchitektur. Aktuarielle Frequenz- und Schweregradmodelle, hierarchische Modelle, Credibility-Verfahren und Monte-Carlo-Simulationen bilden eine zusätzliche Schätz- und Kalibrierungsschicht. Der mathematische Schwerpunkt liegt auf der sauberen Trennung zwischen Ereignisfrequenz, bedingter Schwere, konkurrierenden Endpunkten, Barrierenwirkung und epistemischer Unsicherheit. Ziel ist keine Sammlung scheinpräziser Gefahrenrechner, sondern eine wissenschaftlich nachvollziehbare, reproduzierbare und nutzerfreundliche Engine zur Quantifizierung individueller Eintrittswahrscheinlichkeiten und der Unsicherheit dieser Schätzungen.</w:t>
      </w:r>
    </w:p>
    <w:p>
      <w:pPr>
        <w:pStyle w:val="BodyText"/>
      </w:pPr>
      <w:r>
        <w:rPr>
          <w:b/>
          <w:bCs/>
        </w:rPr>
        <w:t xml:space="preserve">Schlüsselwörter:</w:t>
      </w:r>
      <w:r>
        <w:t xml:space="preserve"> </w:t>
      </w:r>
      <w:r>
        <w:t xml:space="preserve">quantitative Risikoanalyse; Hazard; Mikromort; Exposition; Schutzbarrieren; Monte Carlo; Versicherungsmathematik; Datenqualität; Domain Model Adapter; seltene Ereignisse</w:t>
      </w:r>
    </w:p>
    <w:bookmarkEnd w:id="20"/>
    <w:bookmarkStart w:id="24" w:name="motivation-forschungsziel-und-beitrag"/>
    <w:p>
      <w:pPr>
        <w:pStyle w:val="Heading1"/>
      </w:pPr>
      <w:r>
        <w:rPr>
          <w:rStyle w:val="SectionNumber"/>
        </w:rPr>
        <w:t xml:space="preserve">2</w:t>
      </w:r>
      <w:r>
        <w:tab/>
      </w:r>
      <w:r>
        <w:t xml:space="preserve">1. Motivation, Forschungsziel und Beitrag</w:t>
      </w:r>
    </w:p>
    <w:bookmarkStart w:id="21" w:name="ausgangspunkt"/>
    <w:p>
      <w:pPr>
        <w:pStyle w:val="Heading2"/>
      </w:pPr>
      <w:r>
        <w:rPr>
          <w:rStyle w:val="SectionNumber"/>
        </w:rPr>
        <w:t xml:space="preserve">2.1</w:t>
      </w:r>
      <w:r>
        <w:tab/>
      </w:r>
      <w:r>
        <w:t xml:space="preserve">1.1 Ausgangspunkt</w:t>
      </w:r>
    </w:p>
    <w:p>
      <w:pPr>
        <w:pStyle w:val="FirstParagraph"/>
      </w:pPr>
      <w:r>
        <w:t xml:space="preserve">Menschen sind täglich heterogenen Risiken ausgesetzt. Dazu gehören Mobilität, Arbeit, Sport, Umwelt, technische Systeme und außergewöhnliche Gefahrenlagen. Diese Risiken werden in unterschiedlichen Fachgebieten mit unterschiedlichen Einheiten, Beobachtungsfenstern und Endpunkten beschrieben. Verkehrssicherheitsforschung verwendet etwa Unfälle oder Getötete je Kilometer, Arbeitsunfallstatistik Beschäftigungs- oder Arbeitszeit, Sportepidemiologie Athletenexpositionen, Naturgefahrenmodelle räumliche Hazardintensitäten und Konfliktdatensätze georeferenzierte Ereignisse. Ein Vergleich ist nur sinnvoll, wenn Zähler, Nenner, Zeitraum, Population und Endpunkt explizit definiert werden.</w:t>
      </w:r>
    </w:p>
    <w:p>
      <w:pPr>
        <w:pStyle w:val="BodyText"/>
      </w:pPr>
      <w:r>
        <w:t xml:space="preserve">RiskAI entstand als digitale Umsetzung eines persönlichen quantitativen Risikomodells. Der erste Schwerpunkt lag auf Mobilität, weil für Verkehrsunfälle vergleichsweise umfangreiche administrative Statistiken, Expositionsdaten und Wirkungsstudien verfügbar sind. Der langfristige Anspruch geht darüber hinaus: Mobilität soll nicht die Anwendung definieren, sondern als erster</w:t>
      </w:r>
      <w:r>
        <w:t xml:space="preserve"> </w:t>
      </w:r>
      <w:r>
        <w:rPr>
          <w:i/>
          <w:iCs/>
        </w:rPr>
        <w:t xml:space="preserve">Domain Model Adapter</w:t>
      </w:r>
      <w:r>
        <w:t xml:space="preserve"> </w:t>
      </w:r>
      <w:r>
        <w:t xml:space="preserve">einer gemeinsamen Risk Engine dienen.</w:t>
      </w:r>
    </w:p>
    <w:bookmarkEnd w:id="21"/>
    <w:bookmarkStart w:id="22" w:name="forschungsfragen"/>
    <w:p>
      <w:pPr>
        <w:pStyle w:val="Heading2"/>
      </w:pPr>
      <w:r>
        <w:rPr>
          <w:rStyle w:val="SectionNumber"/>
        </w:rPr>
        <w:t xml:space="preserve">2.2</w:t>
      </w:r>
      <w:r>
        <w:tab/>
      </w:r>
      <w:r>
        <w:t xml:space="preserve">1.2 Forschungsfragen</w:t>
      </w:r>
    </w:p>
    <w:p>
      <w:pPr>
        <w:pStyle w:val="FirstParagraph"/>
      </w:pPr>
      <w:r>
        <w:t xml:space="preserve">Die Arbeit untersucht fünf zentrale Fragen:</w:t>
      </w:r>
    </w:p>
    <w:p>
      <w:pPr>
        <w:pStyle w:val="Compact"/>
        <w:numPr>
          <w:ilvl w:val="0"/>
          <w:numId w:val="1001"/>
        </w:numPr>
      </w:pPr>
      <w:r>
        <w:t xml:space="preserve">Wie können heterogene Alltagsexpositionen in einer gemeinsamen probabilistischen Architektur zusammengeführt werden, ohne domänenspezifische Definitionen zu verlieren?</w:t>
      </w:r>
    </w:p>
    <w:p>
      <w:pPr>
        <w:pStyle w:val="Compact"/>
        <w:numPr>
          <w:ilvl w:val="0"/>
          <w:numId w:val="1001"/>
        </w:numPr>
      </w:pPr>
      <w:r>
        <w:t xml:space="preserve">Wie werden Ereignisfrequenz, bedingte Schwere und Endpunkte mathematisch getrennt und anschließend konsistent aggregiert?</w:t>
      </w:r>
    </w:p>
    <w:p>
      <w:pPr>
        <w:pStyle w:val="Compact"/>
        <w:numPr>
          <w:ilvl w:val="0"/>
          <w:numId w:val="1001"/>
        </w:numPr>
      </w:pPr>
      <w:r>
        <w:t xml:space="preserve">Wie lassen sich Schutzbarrieren endpunktspezifisch modellieren, ohne Wirkungen doppelt zu zählen?</w:t>
      </w:r>
    </w:p>
    <w:p>
      <w:pPr>
        <w:pStyle w:val="Compact"/>
        <w:numPr>
          <w:ilvl w:val="0"/>
          <w:numId w:val="1001"/>
        </w:numPr>
      </w:pPr>
      <w:r>
        <w:t xml:space="preserve">Wie wird verhindert, dass schwache oder inkompatible Evidenz als scheinpräziser numerischer Parameter in das Modell eingeht?</w:t>
      </w:r>
    </w:p>
    <w:p>
      <w:pPr>
        <w:pStyle w:val="Compact"/>
        <w:numPr>
          <w:ilvl w:val="0"/>
          <w:numId w:val="1001"/>
        </w:numPr>
      </w:pPr>
      <w:r>
        <w:t xml:space="preserve">Wie werden aleatorische und epistemische Unsicherheit getrennt und bis zur Ergebnisdarstellung propagiert?</w:t>
      </w:r>
    </w:p>
    <w:bookmarkEnd w:id="22"/>
    <w:bookmarkStart w:id="23" w:name="hauptbeiträge"/>
    <w:p>
      <w:pPr>
        <w:pStyle w:val="Heading2"/>
      </w:pPr>
      <w:r>
        <w:rPr>
          <w:rStyle w:val="SectionNumber"/>
        </w:rPr>
        <w:t xml:space="preserve">2.3</w:t>
      </w:r>
      <w:r>
        <w:tab/>
      </w:r>
      <w:r>
        <w:t xml:space="preserve">1.3 Hauptbeiträge</w:t>
      </w:r>
    </w:p>
    <w:p>
      <w:pPr>
        <w:pStyle w:val="FirstParagraph"/>
      </w:pPr>
      <w:r>
        <w:t xml:space="preserve">Der aktualisierte P-QRA-Ansatz leistet folgende Beiträge:</w:t>
      </w:r>
    </w:p>
    <w:p>
      <w:pPr>
        <w:pStyle w:val="Compact"/>
        <w:numPr>
          <w:ilvl w:val="0"/>
          <w:numId w:val="1002"/>
        </w:numPr>
      </w:pPr>
      <w:r>
        <w:t xml:space="preserve">eine gemeinsame Tages-Hazard-Architektur für mehrere Risikodomänen;</w:t>
      </w:r>
    </w:p>
    <w:p>
      <w:pPr>
        <w:pStyle w:val="Compact"/>
        <w:numPr>
          <w:ilvl w:val="0"/>
          <w:numId w:val="1002"/>
        </w:numPr>
      </w:pPr>
      <w:r>
        <w:t xml:space="preserve">eine formale Trennung von Exposition, Ereignis, Ereignistyp, Schweregrad und Endpunkt;</w:t>
      </w:r>
    </w:p>
    <w:p>
      <w:pPr>
        <w:pStyle w:val="Compact"/>
        <w:numPr>
          <w:ilvl w:val="0"/>
          <w:numId w:val="1002"/>
        </w:numPr>
      </w:pPr>
      <w:r>
        <w:t xml:space="preserve">endpunktspezifische Barrieren statt globaler Risikomultiplikatoren;</w:t>
      </w:r>
    </w:p>
    <w:p>
      <w:pPr>
        <w:pStyle w:val="Compact"/>
        <w:numPr>
          <w:ilvl w:val="0"/>
          <w:numId w:val="1002"/>
        </w:numPr>
      </w:pPr>
      <w:r>
        <w:t xml:space="preserve">ein Evidence Gate und einen versionierten Parametervertrag;</w:t>
      </w:r>
    </w:p>
    <w:p>
      <w:pPr>
        <w:pStyle w:val="Compact"/>
        <w:numPr>
          <w:ilvl w:val="0"/>
          <w:numId w:val="1002"/>
        </w:numPr>
      </w:pPr>
      <w:r>
        <w:t xml:space="preserve">eine aktuarielle Schätzschicht für Frequenz, Schwere, Schadenhöhe und Credibility;</w:t>
      </w:r>
    </w:p>
    <w:p>
      <w:pPr>
        <w:pStyle w:val="Compact"/>
        <w:numPr>
          <w:ilvl w:val="0"/>
          <w:numId w:val="1002"/>
        </w:numPr>
      </w:pPr>
      <w:r>
        <w:t xml:space="preserve">eine Monte-Carlo-Schicht zur Propagation epistemischer Unsicherheit;</w:t>
      </w:r>
    </w:p>
    <w:p>
      <w:pPr>
        <w:pStyle w:val="Compact"/>
        <w:numPr>
          <w:ilvl w:val="0"/>
          <w:numId w:val="1002"/>
        </w:numPr>
      </w:pPr>
      <w:r>
        <w:t xml:space="preserve">standardisierte Domain-Adapter-Schnittstellen;</w:t>
      </w:r>
    </w:p>
    <w:p>
      <w:pPr>
        <w:pStyle w:val="Compact"/>
        <w:numPr>
          <w:ilvl w:val="0"/>
          <w:numId w:val="1002"/>
        </w:numPr>
      </w:pPr>
      <w:r>
        <w:t xml:space="preserve">mathematische Invarianten und Validierungsanforderungen;</w:t>
      </w:r>
    </w:p>
    <w:p>
      <w:pPr>
        <w:pStyle w:val="Compact"/>
        <w:numPr>
          <w:ilvl w:val="0"/>
          <w:numId w:val="1002"/>
        </w:numPr>
      </w:pPr>
      <w:r>
        <w:t xml:space="preserve">eine Produktlogik, die wissenschaftliche Komplexität hinter einer einfachen Oberfläche abbildet.</w:t>
      </w:r>
    </w:p>
    <w:bookmarkEnd w:id="23"/>
    <w:bookmarkEnd w:id="24"/>
    <w:bookmarkStart w:id="32" w:name="stand-der-technik-und-forschungslücke"/>
    <w:p>
      <w:pPr>
        <w:pStyle w:val="Heading1"/>
      </w:pPr>
      <w:r>
        <w:rPr>
          <w:rStyle w:val="SectionNumber"/>
        </w:rPr>
        <w:t xml:space="preserve">3</w:t>
      </w:r>
      <w:r>
        <w:tab/>
      </w:r>
      <w:r>
        <w:t xml:space="preserve">2. Stand der Technik und Forschungslücke</w:t>
      </w:r>
    </w:p>
    <w:bookmarkStart w:id="25" w:name="mikromort-und-statische-vergleichswerte"/>
    <w:p>
      <w:pPr>
        <w:pStyle w:val="Heading2"/>
      </w:pPr>
      <w:r>
        <w:rPr>
          <w:rStyle w:val="SectionNumber"/>
        </w:rPr>
        <w:t xml:space="preserve">3.1</w:t>
      </w:r>
      <w:r>
        <w:tab/>
      </w:r>
      <w:r>
        <w:t xml:space="preserve">2.1 Mikromort und statische Vergleichswerte</w:t>
      </w:r>
    </w:p>
    <w:p>
      <w:pPr>
        <w:pStyle w:val="FirstParagraph"/>
      </w:pPr>
      <w:r>
        <w:t xml:space="preserve">Ein Mikromort bezeichnet eine Todeswahrscheinlichkeit von</w:t>
      </w:r>
      <w:r>
        <w:t xml:space="preserve"> </w:t>
      </w:r>
      <m:oMath>
        <m:sSup>
          <m:e>
            <m:r>
              <m:t>10</m:t>
            </m:r>
          </m:e>
          <m:sup>
            <m:r>
              <m:rPr>
                <m:sty m:val="p"/>
              </m:rPr>
              <m:t>−</m:t>
            </m:r>
            <m:r>
              <m:t>6</m:t>
            </m:r>
          </m:sup>
        </m:sSup>
      </m:oMath>
      <w:r>
        <w:t xml:space="preserve">. Für einen Todesendpunkt mit Wahrscheinlichkeit</w:t>
      </w:r>
      <w:r>
        <w:t xml:space="preserve"> </w:t>
      </w:r>
      <m:oMath>
        <m:sSub>
          <m:e>
            <m:r>
              <m:t>p</m:t>
            </m:r>
          </m:e>
          <m:sub>
            <m:r>
              <m:rPr>
                <m:sty m:val="p"/>
              </m:rPr>
              <m:t>d</m:t>
            </m:r>
            <m:r>
              <m:rPr>
                <m:sty m:val="p"/>
              </m:rPr>
              <m:t>e</m:t>
            </m:r>
            <m:r>
              <m:rPr>
                <m:sty m:val="p"/>
              </m:rPr>
              <m:t>a</m:t>
            </m:r>
            <m:r>
              <m:rPr>
                <m:sty m:val="p"/>
              </m:rPr>
              <m:t>t</m:t>
            </m:r>
            <m:r>
              <m:rPr>
                <m:sty m:val="p"/>
              </m:rPr>
              <m:t>h</m:t>
            </m:r>
          </m:sub>
        </m:sSub>
      </m:oMath>
      <w:r>
        <w:t xml:space="preserve"> </w:t>
      </w:r>
      <w:r>
        <w:t xml:space="preserve">gilt</w:t>
      </w:r>
    </w:p>
    <w:p>
      <w:pPr>
        <w:pStyle w:val="BodyText"/>
      </w:pPr>
      <m:oMathPara>
        <m:oMathParaPr>
          <m:jc m:val="center"/>
        </m:oMathParaPr>
        <m:oMath>
          <m:r>
            <m:t>M</m:t>
          </m:r>
          <m:r>
            <m:rPr>
              <m:sty m:val="p"/>
            </m:rPr>
            <m:t>=</m:t>
          </m:r>
          <m:sSup>
            <m:e>
              <m:r>
                <m:t>10</m:t>
              </m:r>
            </m:e>
            <m:sup>
              <m:r>
                <m:t>6</m:t>
              </m:r>
            </m:sup>
          </m:sSup>
          <m:sSub>
            <m:e>
              <m:r>
                <m:t>p</m:t>
              </m:r>
            </m:e>
            <m:sub>
              <m:r>
                <m:rPr>
                  <m:sty m:val="p"/>
                </m:rPr>
                <m:t>d</m:t>
              </m:r>
              <m:r>
                <m:rPr>
                  <m:sty m:val="p"/>
                </m:rPr>
                <m:t>e</m:t>
              </m:r>
              <m:r>
                <m:rPr>
                  <m:sty m:val="p"/>
                </m:rPr>
                <m:t>a</m:t>
              </m:r>
              <m:r>
                <m:rPr>
                  <m:sty m:val="p"/>
                </m:rPr>
                <m:t>t</m:t>
              </m:r>
              <m:r>
                <m:rPr>
                  <m:sty m:val="p"/>
                </m:rPr>
                <m:t>h</m:t>
              </m:r>
            </m:sub>
          </m:sSub>
          <m:r>
            <m:rPr>
              <m:sty m:val="p"/>
            </m:rPr>
            <m:t>.</m:t>
          </m:r>
        </m:oMath>
      </m:oMathPara>
    </w:p>
    <w:p>
      <w:pPr>
        <w:pStyle w:val="FirstParagraph"/>
      </w:pPr>
      <w:r>
        <w:t xml:space="preserve">Mikromort ist eine anschauliche Einheit für kleine Wahrscheinlichkeiten. Statische Tabellen oder Rechner vernachlässigen jedoch häufig individuelle Exposition, Kontext, Schutzmaßnahmen, Korrelationen und Parametersicherheit. P-QRA verwendet Mikromort deshalb nur als Darstellungseinheit der finalen Todeswahrscheinlichkeit, nicht als primäre Rechenlogik.</w:t>
      </w:r>
    </w:p>
    <w:bookmarkEnd w:id="25"/>
    <w:bookmarkStart w:id="26" w:name="überlebens--und-hazardmodelle"/>
    <w:p>
      <w:pPr>
        <w:pStyle w:val="Heading2"/>
      </w:pPr>
      <w:r>
        <w:rPr>
          <w:rStyle w:val="SectionNumber"/>
        </w:rPr>
        <w:t xml:space="preserve">3.2</w:t>
      </w:r>
      <w:r>
        <w:tab/>
      </w:r>
      <w:r>
        <w:t xml:space="preserve">2.2 Überlebens- und Hazardmodelle</w:t>
      </w:r>
    </w:p>
    <w:p>
      <w:pPr>
        <w:pStyle w:val="FirstParagraph"/>
      </w:pPr>
      <w:r>
        <w:t xml:space="preserve">In der Überlebensanalyse beschreibt die Hazardfunktion die momentane Ereignisintensität bedingt auf bisheriges Überleben. Bei kumuliertem Hazard</w:t>
      </w:r>
      <w:r>
        <w:t xml:space="preserve"> </w:t>
      </w:r>
      <m:oMath>
        <m:r>
          <m:t>H</m:t>
        </m:r>
        <m:r>
          <m:rPr>
            <m:sty m:val="p"/>
          </m:rPr>
          <m:t>(</m:t>
        </m:r>
        <m:r>
          <m:t>t</m:t>
        </m:r>
        <m:r>
          <m:rPr>
            <m:sty m:val="p"/>
          </m:rPr>
          <m:t>)</m:t>
        </m:r>
      </m:oMath>
      <w:r>
        <w:t xml:space="preserve"> </w:t>
      </w:r>
      <w:r>
        <w:t xml:space="preserve">ist die Überlebensfunktion</w:t>
      </w:r>
    </w:p>
    <w:p>
      <w:pPr>
        <w:pStyle w:val="BodyText"/>
      </w:pPr>
      <m:oMathPara>
        <m:oMathParaPr>
          <m:jc m:val="center"/>
        </m:oMathParaPr>
        <m:oMath>
          <m:r>
            <m:t>S</m:t>
          </m:r>
          <m:r>
            <m:rPr>
              <m:sty m:val="p"/>
            </m:rPr>
            <m:t>(</m:t>
          </m:r>
          <m:r>
            <m:t>t</m:t>
          </m:r>
          <m:r>
            <m:rPr>
              <m:sty m:val="p"/>
            </m:rPr>
            <m:t>)</m:t>
          </m:r>
          <m:r>
            <m:rPr>
              <m:sty m:val="p"/>
            </m:rPr>
            <m:t>=</m:t>
          </m:r>
          <m:r>
            <m:rPr>
              <m:sty m:val="p"/>
            </m:rPr>
            <m:t>exp</m:t>
          </m:r>
          <m:r>
            <m:rPr>
              <m:sty m:val="p"/>
            </m:rPr>
            <m:t>[</m:t>
          </m:r>
          <m:r>
            <m:rPr>
              <m:sty m:val="p"/>
            </m:rPr>
            <m:t>−</m:t>
          </m:r>
          <m:r>
            <m:t>H</m:t>
          </m:r>
          <m:r>
            <m:rPr>
              <m:sty m:val="p"/>
            </m:rPr>
            <m:t>(</m:t>
          </m:r>
          <m:r>
            <m:t>t</m:t>
          </m:r>
          <m:r>
            <m:rPr>
              <m:sty m:val="p"/>
            </m:rPr>
            <m:t>)</m:t>
          </m:r>
          <m:r>
            <m:rPr>
              <m:sty m:val="p"/>
            </m:rPr>
            <m:t>]</m:t>
          </m:r>
          <m:r>
            <m:rPr>
              <m:sty m:val="p"/>
            </m:rPr>
            <m:t>,</m:t>
          </m:r>
        </m:oMath>
      </m:oMathPara>
    </w:p>
    <w:p>
      <w:pPr>
        <w:pStyle w:val="FirstParagraph"/>
      </w:pPr>
      <w:r>
        <w:t xml:space="preserve">und die Ereigniswahrscheinlichkeit bis zum Zeitpunkt</w:t>
      </w:r>
      <w:r>
        <w:t xml:space="preserve"> </w:t>
      </w:r>
      <m:oMath>
        <m:r>
          <m:t>t</m:t>
        </m:r>
      </m:oMath>
    </w:p>
    <w:p>
      <w:pPr>
        <w:pStyle w:val="BodyText"/>
      </w:pPr>
      <m:oMathPara>
        <m:oMathParaPr>
          <m:jc m:val="center"/>
        </m:oMathParaPr>
        <m:oMath>
          <m:r>
            <m:t>F</m:t>
          </m:r>
          <m:r>
            <m:rPr>
              <m:sty m:val="p"/>
            </m:rPr>
            <m:t>(</m:t>
          </m:r>
          <m:r>
            <m:t>t</m:t>
          </m:r>
          <m:r>
            <m:rPr>
              <m:sty m:val="p"/>
            </m:rPr>
            <m:t>)</m:t>
          </m:r>
          <m:r>
            <m:rPr>
              <m:sty m:val="p"/>
            </m:rPr>
            <m:t>=</m:t>
          </m:r>
          <m:r>
            <m:t>1</m:t>
          </m:r>
          <m:r>
            <m:rPr>
              <m:sty m:val="p"/>
            </m:rPr>
            <m:t>−</m:t>
          </m:r>
          <m:r>
            <m:t>S</m:t>
          </m:r>
          <m:r>
            <m:rPr>
              <m:sty m:val="p"/>
            </m:rPr>
            <m:t>(</m:t>
          </m:r>
          <m:r>
            <m:t>t</m:t>
          </m:r>
          <m:r>
            <m:rPr>
              <m:sty m:val="p"/>
            </m:rPr>
            <m:t>)</m:t>
          </m:r>
          <m:r>
            <m:rPr>
              <m:sty m:val="p"/>
            </m:rPr>
            <m:t>=</m:t>
          </m:r>
          <m:r>
            <m:t>1</m:t>
          </m:r>
          <m:r>
            <m:rPr>
              <m:sty m:val="p"/>
            </m:rPr>
            <m:t>−</m:t>
          </m:r>
          <m:r>
            <m:rPr>
              <m:sty m:val="p"/>
            </m:rPr>
            <m:t>exp</m:t>
          </m:r>
          <m:r>
            <m:rPr>
              <m:sty m:val="p"/>
            </m:rPr>
            <m:t>[</m:t>
          </m:r>
          <m:r>
            <m:rPr>
              <m:sty m:val="p"/>
            </m:rPr>
            <m:t>−</m:t>
          </m:r>
          <m:r>
            <m:t>H</m:t>
          </m:r>
          <m:r>
            <m:rPr>
              <m:sty m:val="p"/>
            </m:rPr>
            <m:t>(</m:t>
          </m:r>
          <m:r>
            <m:t>t</m:t>
          </m:r>
          <m:r>
            <m:rPr>
              <m:sty m:val="p"/>
            </m:rPr>
            <m:t>)</m:t>
          </m:r>
          <m:r>
            <m:rPr>
              <m:sty m:val="p"/>
            </m:rPr>
            <m:t>]</m:t>
          </m:r>
          <m:r>
            <m:rPr>
              <m:sty m:val="p"/>
            </m:rPr>
            <m:t>.</m:t>
          </m:r>
        </m:oMath>
      </m:oMathPara>
    </w:p>
    <w:p>
      <w:pPr>
        <w:pStyle w:val="FirstParagraph"/>
      </w:pPr>
      <w:r>
        <w:t xml:space="preserve">Diese Beziehung ist der mathematische Kern der RiskAI-Aggregation. Addiert werden Hazards, nicht bereits transformierte Wahrscheinlichkeiten. Für kleine</w:t>
      </w:r>
      <w:r>
        <w:t xml:space="preserve"> </w:t>
      </w:r>
      <m:oMath>
        <m:r>
          <m:t>H</m:t>
        </m:r>
      </m:oMath>
      <w:r>
        <w:t xml:space="preserve"> </w:t>
      </w:r>
      <w:r>
        <w:t xml:space="preserve">liefert die Taylorentwicklung</w:t>
      </w:r>
    </w:p>
    <w:p>
      <w:pPr>
        <w:pStyle w:val="BodyText"/>
      </w:pPr>
      <m:oMathPara>
        <m:oMathParaPr>
          <m:jc m:val="center"/>
        </m:oMathParaPr>
        <m:oMath>
          <m:r>
            <m:t>1</m:t>
          </m:r>
          <m:r>
            <m:rPr>
              <m:sty m:val="p"/>
            </m:rPr>
            <m:t>−</m:t>
          </m:r>
          <m:sSup>
            <m:e>
              <m:r>
                <m:t>e</m:t>
              </m:r>
            </m:e>
            <m:sup>
              <m:r>
                <m:rPr>
                  <m:sty m:val="p"/>
                </m:rPr>
                <m:t>−</m:t>
              </m:r>
              <m:r>
                <m:t>H</m:t>
              </m:r>
            </m:sup>
          </m:sSup>
          <m:r>
            <m:rPr>
              <m:sty m:val="p"/>
            </m:rPr>
            <m:t>=</m:t>
          </m:r>
          <m:r>
            <m:t>H</m:t>
          </m:r>
          <m:r>
            <m:rPr>
              <m:sty m:val="p"/>
            </m:rPr>
            <m:t>−</m:t>
          </m:r>
          <m:f>
            <m:fPr>
              <m:type m:val="bar"/>
            </m:fPr>
            <m:num>
              <m:sSup>
                <m:e>
                  <m:r>
                    <m:t>H</m:t>
                  </m:r>
                </m:e>
                <m:sup>
                  <m:r>
                    <m:t>2</m:t>
                  </m:r>
                </m:sup>
              </m:sSup>
            </m:num>
            <m:den>
              <m:r>
                <m:t>2</m:t>
              </m:r>
            </m:den>
          </m:f>
          <m:r>
            <m:rPr>
              <m:sty m:val="p"/>
            </m:rPr>
            <m:t>+</m:t>
          </m:r>
          <m:f>
            <m:fPr>
              <m:type m:val="bar"/>
            </m:fPr>
            <m:num>
              <m:sSup>
                <m:e>
                  <m:r>
                    <m:t>H</m:t>
                  </m:r>
                </m:e>
                <m:sup>
                  <m:r>
                    <m:t>3</m:t>
                  </m:r>
                </m:sup>
              </m:sSup>
            </m:num>
            <m:den>
              <m:r>
                <m:t>6</m:t>
              </m:r>
            </m:den>
          </m:f>
          <m:r>
            <m:rPr>
              <m:sty m:val="p"/>
            </m:rPr>
            <m:t>−</m:t>
          </m:r>
          <m:r>
            <m:rPr>
              <m:sty m:val="p"/>
            </m:rPr>
            <m:t>⋯</m:t>
          </m:r>
          <m:r>
            <m:rPr>
              <m:sty m:val="p"/>
            </m:rPr>
            <m:t>≈</m:t>
          </m:r>
          <m:r>
            <m:t>H</m:t>
          </m:r>
          <m:r>
            <m:rPr>
              <m:sty m:val="p"/>
            </m:rPr>
            <m:t>.</m:t>
          </m:r>
        </m:oMath>
      </m:oMathPara>
    </w:p>
    <w:p>
      <w:pPr>
        <w:pStyle w:val="FirstParagraph"/>
      </w:pPr>
      <w:r>
        <w:t xml:space="preserve">Die beobachtete annähernde Linearität kleiner Alltagsrisiken ist somit keine Modellschwäche, sondern eine mathematische Eigenschaft seltener Ereignisse.</w:t>
      </w:r>
    </w:p>
    <w:bookmarkEnd w:id="26"/>
    <w:bookmarkStart w:id="27" w:name="X72b6e44bf42c1f05b0cc9c40cc35bd556463bd2"/>
    <w:p>
      <w:pPr>
        <w:pStyle w:val="Heading2"/>
      </w:pPr>
      <w:r>
        <w:rPr>
          <w:rStyle w:val="SectionNumber"/>
        </w:rPr>
        <w:t xml:space="preserve">3.3</w:t>
      </w:r>
      <w:r>
        <w:tab/>
      </w:r>
      <w:r>
        <w:t xml:space="preserve">2.3 Prozesssicherheit, Ereignis- und Fehlerbäume</w:t>
      </w:r>
    </w:p>
    <w:p>
      <w:pPr>
        <w:pStyle w:val="FirstParagraph"/>
      </w:pPr>
      <w:r>
        <w:t xml:space="preserve">Probabilistische Risikoanalysen fragen, was schiefgehen kann, wie wahrscheinlich ein Szenario ist und welche Konsequenzen folgen. Ereignisbäume zerlegen einen initiierenden Auslöser in Pfade; Fehlerbäume modellieren logische Ursachen. Für RiskAI ist vor allem die explizite Zuordnung von Barrieren zu bestimmten Pfaden relevant. Ein Airbag wirkt nur in passenden Kollisionen und Sitzpositionen. Ein Helm beeinflusst bedingte Verletzungsfolgen, nicht zwingend die Sturzrate. Global angewandte Faktoren sind fachlich falsch, wenn ihre Evidenz nur einen Teilpfad abdeckt.</w:t>
      </w:r>
    </w:p>
    <w:bookmarkEnd w:id="27"/>
    <w:bookmarkStart w:id="28" w:name="verkehrssicherheitsmodelle"/>
    <w:p>
      <w:pPr>
        <w:pStyle w:val="Heading2"/>
      </w:pPr>
      <w:r>
        <w:rPr>
          <w:rStyle w:val="SectionNumber"/>
        </w:rPr>
        <w:t xml:space="preserve">3.4</w:t>
      </w:r>
      <w:r>
        <w:tab/>
      </w:r>
      <w:r>
        <w:t xml:space="preserve">2.4 Verkehrssicherheitsmodelle</w:t>
      </w:r>
    </w:p>
    <w:p>
      <w:pPr>
        <w:pStyle w:val="FirstParagraph"/>
      </w:pPr>
      <w:r>
        <w:t xml:space="preserve">Das Highway Safety Manual stellt quantitative Methoden zur Bewertung der erwarteten Sicherheitsleistung von Straßen und Crash Modification Factors zur Abschätzung von Infrastrukturmaßnahmen bereit. Für RiskAI sind insbesondere Safety Performance Functions, lokale Kalibrierung und die Trennung zwischen Basisprognose und Modifikationsfaktor anschlussfähig. Die WHO betont bei Straßenverkehrsdaten zusätzlich die Bedeutung konsistenter Definitionen, zuverlässiger Datensysteme, Expositionsmaßen und kompatibler Minimaldatensätze.</w:t>
      </w:r>
    </w:p>
    <w:bookmarkEnd w:id="28"/>
    <w:bookmarkStart w:id="29" w:name="versicherungsmathematische-modelle"/>
    <w:p>
      <w:pPr>
        <w:pStyle w:val="Heading2"/>
      </w:pPr>
      <w:r>
        <w:rPr>
          <w:rStyle w:val="SectionNumber"/>
        </w:rPr>
        <w:t xml:space="preserve">3.5</w:t>
      </w:r>
      <w:r>
        <w:tab/>
      </w:r>
      <w:r>
        <w:t xml:space="preserve">2.5 Versicherungsmathematische Modelle</w:t>
      </w:r>
    </w:p>
    <w:p>
      <w:pPr>
        <w:pStyle w:val="FirstParagraph"/>
      </w:pPr>
      <w:r>
        <w:t xml:space="preserve">Versicherungsmathematik zerlegt den aggregierten Verlust in Häufigkeit und Schwere. Für ein Risiko</w:t>
      </w:r>
      <w:r>
        <w:t xml:space="preserve"> </w:t>
      </w:r>
      <m:oMath>
        <m:r>
          <m:t>i</m:t>
        </m:r>
      </m:oMath>
      <w:r>
        <w:t xml:space="preserve"> </w:t>
      </w:r>
      <w:r>
        <w:t xml:space="preserve">sei</w:t>
      </w:r>
      <w:r>
        <w:t xml:space="preserve"> </w:t>
      </w:r>
      <m:oMath>
        <m:sSub>
          <m:e>
            <m:r>
              <m:t>N</m:t>
            </m:r>
          </m:e>
          <m:sub>
            <m:r>
              <m:t>i</m:t>
            </m:r>
          </m:sub>
        </m:sSub>
      </m:oMath>
      <w:r>
        <w:t xml:space="preserve"> </w:t>
      </w:r>
      <w:r>
        <w:t xml:space="preserve">die Zahl der Ereignisse und</w:t>
      </w:r>
      <w:r>
        <w:t xml:space="preserve"> </w:t>
      </w:r>
      <m:oMath>
        <m:sSub>
          <m:e>
            <m:r>
              <m:t>Y</m:t>
            </m:r>
          </m:e>
          <m:sub>
            <m:r>
              <m:t>i</m:t>
            </m:r>
            <m:r>
              <m:t>j</m:t>
            </m:r>
          </m:sub>
        </m:sSub>
      </m:oMath>
      <w:r>
        <w:t xml:space="preserve"> </w:t>
      </w:r>
      <w:r>
        <w:t xml:space="preserve">die Schadenhöhe oder der Schwerewert des Ereignisses</w:t>
      </w:r>
      <w:r>
        <w:t xml:space="preserve"> </w:t>
      </w:r>
      <m:oMath>
        <m:r>
          <m:t>j</m:t>
        </m:r>
      </m:oMath>
      <w:r>
        <w:t xml:space="preserve">. Der aggregierte Verlust lautet</w:t>
      </w:r>
    </w:p>
    <w:p>
      <w:pPr>
        <w:pStyle w:val="BodyText"/>
      </w:pPr>
      <m:oMathPara>
        <m:oMathParaPr>
          <m:jc m:val="center"/>
        </m:oMathParaPr>
        <m:oMath>
          <m:sSub>
            <m:e>
              <m:r>
                <m:t>L</m:t>
              </m:r>
            </m:e>
            <m:sub>
              <m:r>
                <m:t>i</m:t>
              </m:r>
            </m:sub>
          </m:sSub>
          <m:r>
            <m:rPr>
              <m:sty m:val="p"/>
            </m:rPr>
            <m:t>=</m:t>
          </m:r>
          <m:nary>
            <m:naryPr>
              <m:chr m:val="∑"/>
              <m:limLoc m:val="undOvr"/>
              <m:subHide m:val="off"/>
              <m:supHide m:val="off"/>
            </m:naryPr>
            <m:sub>
              <m:r>
                <m:t>j</m:t>
              </m:r>
              <m:r>
                <m:rPr>
                  <m:sty m:val="p"/>
                </m:rPr>
                <m:t>=</m:t>
              </m:r>
              <m:r>
                <m:t>1</m:t>
              </m:r>
            </m:sub>
            <m:sup>
              <m:sSub>
                <m:e>
                  <m:r>
                    <m:t>N</m:t>
                  </m:r>
                </m:e>
                <m:sub>
                  <m:r>
                    <m:t>i</m:t>
                  </m:r>
                </m:sub>
              </m:sSub>
            </m:sup>
            <m:e>
              <m:sSub>
                <m:e>
                  <m:r>
                    <m:t>Y</m:t>
                  </m:r>
                </m:e>
                <m:sub>
                  <m:r>
                    <m:t>i</m:t>
                  </m:r>
                  <m:r>
                    <m:t>j</m:t>
                  </m:r>
                </m:sub>
              </m:sSub>
            </m:e>
          </m:nary>
          <m:r>
            <m:rPr>
              <m:sty m:val="p"/>
            </m:rPr>
            <m:t>.</m:t>
          </m:r>
        </m:oMath>
      </m:oMathPara>
    </w:p>
    <w:p>
      <w:pPr>
        <w:pStyle w:val="FirstParagraph"/>
      </w:pPr>
      <w:r>
        <w:t xml:space="preserve">Unter geeigneten Unabhängigkeitsannahmen folgt</w:t>
      </w:r>
    </w:p>
    <w:p>
      <w:pPr>
        <w:pStyle w:val="BodyText"/>
      </w:pPr>
      <m:oMathPara>
        <m:oMathParaPr>
          <m:jc m:val="center"/>
        </m:oMathParaPr>
        <m:oMath>
          <m:r>
            <m:rPr>
              <m:scr m:val="double-struck"/>
              <m:sty m:val="p"/>
            </m:rPr>
            <m:t>E</m:t>
          </m:r>
          <m:r>
            <m:rPr>
              <m:sty m:val="p"/>
            </m:rPr>
            <m:t>[</m:t>
          </m:r>
          <m:sSub>
            <m:e>
              <m:r>
                <m:t>L</m:t>
              </m:r>
            </m:e>
            <m:sub>
              <m:r>
                <m:t>i</m:t>
              </m:r>
            </m:sub>
          </m:sSub>
          <m:r>
            <m:rPr>
              <m:sty m:val="p"/>
            </m:rPr>
            <m:t>]</m:t>
          </m:r>
          <m:r>
            <m:rPr>
              <m:sty m:val="p"/>
            </m:rPr>
            <m:t>=</m:t>
          </m:r>
          <m:r>
            <m:rPr>
              <m:scr m:val="double-struck"/>
              <m:sty m:val="p"/>
            </m:rPr>
            <m:t>E</m:t>
          </m:r>
          <m:r>
            <m:rPr>
              <m:sty m:val="p"/>
            </m:rPr>
            <m:t>[</m:t>
          </m:r>
          <m:sSub>
            <m:e>
              <m:r>
                <m:t>N</m:t>
              </m:r>
            </m:e>
            <m:sub>
              <m:r>
                <m:t>i</m:t>
              </m:r>
            </m:sub>
          </m:sSub>
          <m:r>
            <m:rPr>
              <m:sty m:val="p"/>
            </m:rPr>
            <m:t>]</m:t>
          </m:r>
          <m:r>
            <m:t> </m:t>
          </m:r>
          <m:r>
            <m:rPr>
              <m:scr m:val="double-struck"/>
              <m:sty m:val="p"/>
            </m:rPr>
            <m:t>E</m:t>
          </m:r>
          <m:r>
            <m:rPr>
              <m:sty m:val="p"/>
            </m:rPr>
            <m:t>[</m:t>
          </m:r>
          <m:sSub>
            <m:e>
              <m:r>
                <m:t>Y</m:t>
              </m:r>
            </m:e>
            <m:sub>
              <m:r>
                <m:t>i</m:t>
              </m:r>
            </m:sub>
          </m:sSub>
          <m:r>
            <m:rPr>
              <m:sty m:val="p"/>
            </m:rPr>
            <m:t>]</m:t>
          </m:r>
          <m:r>
            <m:rPr>
              <m:sty m:val="p"/>
            </m:rPr>
            <m:t>.</m:t>
          </m:r>
        </m:oMath>
      </m:oMathPara>
    </w:p>
    <w:p>
      <w:pPr>
        <w:pStyle w:val="FirstParagraph"/>
      </w:pPr>
      <w:r>
        <w:t xml:space="preserve">Diese Zerlegung ist zentral: Unfallfrequenz, Verletzungsschwere und monetäre Schadenhöhe sind verschiedene Zufallsprozesse. RiskAI übernimmt diese Trennung, ohne die persönliche Todeswahrscheinlichkeit mit einem Versicherungsbeitrag gleichzusetzen.</w:t>
      </w:r>
    </w:p>
    <w:bookmarkEnd w:id="29"/>
    <w:bookmarkStart w:id="30" w:name="X87b9efab38742a55ff9df13291604c41b027362"/>
    <w:p>
      <w:pPr>
        <w:pStyle w:val="Heading2"/>
      </w:pPr>
      <w:r>
        <w:rPr>
          <w:rStyle w:val="SectionNumber"/>
        </w:rPr>
        <w:t xml:space="preserve">3.6</w:t>
      </w:r>
      <w:r>
        <w:tab/>
      </w:r>
      <w:r>
        <w:t xml:space="preserve">2.6 Probabilistische Risikoanalyse und Unsicherheit</w:t>
      </w:r>
    </w:p>
    <w:p>
      <w:pPr>
        <w:pStyle w:val="FirstParagraph"/>
      </w:pPr>
      <w:r>
        <w:t xml:space="preserve">Die probabilistische Risikoanalyse ersetzt einen Punktwert durch eine Verteilung möglicher Werte. EPA-Leitlinien beschreiben probabilistische Methoden als Werkzeuge zur gemeinsamen Charakterisierung von Variabilität und Unsicherheit, sofern Daten, Annahmen und Methoden transparent und reproduzierbar sind. RiskAI übernimmt dieses Prinzip durch getrennte Zufallsmodelle für natürliche Ereignisvariation und epistemische Parameterunsicherheit.</w:t>
      </w:r>
    </w:p>
    <w:bookmarkEnd w:id="30"/>
    <w:bookmarkStart w:id="31" w:name="forschungslücke"/>
    <w:p>
      <w:pPr>
        <w:pStyle w:val="Heading2"/>
      </w:pPr>
      <w:r>
        <w:rPr>
          <w:rStyle w:val="SectionNumber"/>
        </w:rPr>
        <w:t xml:space="preserve">3.7</w:t>
      </w:r>
      <w:r>
        <w:tab/>
      </w:r>
      <w:r>
        <w:t xml:space="preserve">2.7 Forschungslücke</w:t>
      </w:r>
    </w:p>
    <w:p>
      <w:pPr>
        <w:pStyle w:val="FirstParagraph"/>
      </w:pPr>
      <w:r>
        <w:t xml:space="preserve">Keiner der genannten Ansätze verbindet für individuelle Alltagsszenarien gleichzeitig:</w:t>
      </w:r>
    </w:p>
    <w:p>
      <w:pPr>
        <w:pStyle w:val="Compact"/>
        <w:numPr>
          <w:ilvl w:val="0"/>
          <w:numId w:val="1003"/>
        </w:numPr>
      </w:pPr>
      <w:r>
        <w:t xml:space="preserve">eine Tagesaggregation über mehrere Domänen,</w:t>
      </w:r>
    </w:p>
    <w:p>
      <w:pPr>
        <w:pStyle w:val="Compact"/>
        <w:numPr>
          <w:ilvl w:val="0"/>
          <w:numId w:val="1003"/>
        </w:numPr>
      </w:pPr>
      <w:r>
        <w:t xml:space="preserve">domänenspezifische Expositionsnenner,</w:t>
      </w:r>
    </w:p>
    <w:p>
      <w:pPr>
        <w:pStyle w:val="Compact"/>
        <w:numPr>
          <w:ilvl w:val="0"/>
          <w:numId w:val="1003"/>
        </w:numPr>
      </w:pPr>
      <w:r>
        <w:t xml:space="preserve">Ereignis- und Schweregradmodelle,</w:t>
      </w:r>
    </w:p>
    <w:p>
      <w:pPr>
        <w:pStyle w:val="Compact"/>
        <w:numPr>
          <w:ilvl w:val="0"/>
          <w:numId w:val="1003"/>
        </w:numPr>
      </w:pPr>
      <w:r>
        <w:t xml:space="preserve">lokale Schutzbarrieren,</w:t>
      </w:r>
    </w:p>
    <w:p>
      <w:pPr>
        <w:pStyle w:val="Compact"/>
        <w:numPr>
          <w:ilvl w:val="0"/>
          <w:numId w:val="1003"/>
        </w:numPr>
      </w:pPr>
      <w:r>
        <w:t xml:space="preserve">mehrere getrennte Endpunkte,</w:t>
      </w:r>
    </w:p>
    <w:p>
      <w:pPr>
        <w:pStyle w:val="Compact"/>
        <w:numPr>
          <w:ilvl w:val="0"/>
          <w:numId w:val="1003"/>
        </w:numPr>
      </w:pPr>
      <w:r>
        <w:t xml:space="preserve">Evidence Gate und Parameterprovenienz,</w:t>
      </w:r>
    </w:p>
    <w:p>
      <w:pPr>
        <w:pStyle w:val="Compact"/>
        <w:numPr>
          <w:ilvl w:val="0"/>
          <w:numId w:val="1003"/>
        </w:numPr>
      </w:pPr>
      <w:r>
        <w:t xml:space="preserve">explizite epistemische Unsicherheit,</w:t>
      </w:r>
    </w:p>
    <w:p>
      <w:pPr>
        <w:pStyle w:val="Compact"/>
        <w:numPr>
          <w:ilvl w:val="0"/>
          <w:numId w:val="1003"/>
        </w:numPr>
      </w:pPr>
      <w:r>
        <w:t xml:space="preserve">eine allgemein verständliche Ergebnisdarstellung.</w:t>
      </w:r>
    </w:p>
    <w:p>
      <w:pPr>
        <w:pStyle w:val="FirstParagraph"/>
      </w:pPr>
      <w:r>
        <w:t xml:space="preserve">P-QRA adressiert diese Lücke als modulare Architektur.</w:t>
      </w:r>
    </w:p>
    <w:bookmarkEnd w:id="31"/>
    <w:bookmarkEnd w:id="32"/>
    <w:bookmarkStart w:id="38" w:name="Xcfd39b351aa600d93c0858f7bac5f203cb136fd"/>
    <w:p>
      <w:pPr>
        <w:pStyle w:val="Heading1"/>
      </w:pPr>
      <w:r>
        <w:rPr>
          <w:rStyle w:val="SectionNumber"/>
        </w:rPr>
        <w:t xml:space="preserve">4</w:t>
      </w:r>
      <w:r>
        <w:tab/>
      </w:r>
      <w:r>
        <w:t xml:space="preserve">3. Notation und probabilistische Grundstruktur</w:t>
      </w:r>
    </w:p>
    <w:bookmarkStart w:id="33" w:name="indizes-und-größen"/>
    <w:p>
      <w:pPr>
        <w:pStyle w:val="Heading2"/>
      </w:pPr>
      <w:r>
        <w:rPr>
          <w:rStyle w:val="SectionNumber"/>
        </w:rPr>
        <w:t xml:space="preserve">4.1</w:t>
      </w:r>
      <w:r>
        <w:tab/>
      </w:r>
      <w:r>
        <w:t xml:space="preserve">3.1 Indizes und Größen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Bedeutung</w:t>
            </w:r>
          </w:p>
        </w:tc>
      </w:tr>
      <w:tr>
        <w:tc>
          <w:tcPr/>
          <w:p>
            <w:pPr>
              <w:pStyle w:val="Compact"/>
            </w:pPr>
            <m:oMath>
              <m:r>
                <m:t>d</m:t>
              </m:r>
            </m:oMath>
          </w:p>
        </w:tc>
        <w:tc>
          <w:tcPr/>
          <w:p>
            <w:pPr>
              <w:pStyle w:val="Compact"/>
            </w:pPr>
            <w:r>
              <w:t xml:space="preserve">Risikodomäne, etwa Mobilität oder Sport</w:t>
            </w:r>
          </w:p>
        </w:tc>
      </w:tr>
      <w:tr>
        <w:tc>
          <w:tcPr/>
          <w:p>
            <w:pPr>
              <w:pStyle w:val="Compact"/>
            </w:pPr>
            <m:oMath>
              <m:r>
                <m:t>i</m:t>
              </m:r>
            </m:oMath>
          </w:p>
        </w:tc>
        <w:tc>
          <w:tcPr/>
          <w:p>
            <w:pPr>
              <w:pStyle w:val="Compact"/>
            </w:pPr>
            <w:r>
              <w:t xml:space="preserve">Aktivität oder homogene Exposition</w:t>
            </w:r>
          </w:p>
        </w:tc>
      </w:tr>
      <w:tr>
        <w:tc>
          <w:tcPr/>
          <w:p>
            <w:pPr>
              <w:pStyle w:val="Compact"/>
            </w:pPr>
            <m:oMath>
              <m:r>
                <m:t>s</m:t>
              </m:r>
            </m:oMath>
          </w:p>
        </w:tc>
        <w:tc>
          <w:tcPr/>
          <w:p>
            <w:pPr>
              <w:pStyle w:val="Compact"/>
            </w:pPr>
            <w:r>
              <w:t xml:space="preserve">Segment einer Aktivität, etwa Straßenabschnitt</w:t>
            </w:r>
          </w:p>
        </w:tc>
      </w:tr>
      <w:tr>
        <w:tc>
          <w:tcPr/>
          <w:p>
            <w:pPr>
              <w:pStyle w:val="Compact"/>
            </w:pPr>
            <m:oMath>
              <m:r>
                <m:t>k</m:t>
              </m:r>
            </m:oMath>
          </w:p>
        </w:tc>
        <w:tc>
          <w:tcPr/>
          <w:p>
            <w:pPr>
              <w:pStyle w:val="Compact"/>
            </w:pPr>
            <w:r>
              <w:t xml:space="preserve">Ereignistyp oder Ereigniskanal</w:t>
            </w:r>
          </w:p>
        </w:tc>
      </w:tr>
      <w:tr>
        <w:tc>
          <w:tcPr/>
          <w:p>
            <w:pPr>
              <w:pStyle w:val="Compact"/>
            </w:pPr>
            <m:oMath>
              <m:r>
                <m:t>q</m:t>
              </m:r>
            </m:oMath>
          </w:p>
        </w:tc>
        <w:tc>
          <w:tcPr/>
          <w:p>
            <w:pPr>
              <w:pStyle w:val="Compact"/>
            </w:pPr>
            <w:r>
              <w:t xml:space="preserve">Endpunkt oder Schweregrad</w:t>
            </w:r>
          </w:p>
        </w:tc>
      </w:tr>
      <w:tr>
        <w:tc>
          <w:tcPr/>
          <w:p>
            <w:pPr>
              <w:pStyle w:val="Compact"/>
            </w:pPr>
            <m:oMath>
              <m:sSub>
                <m:e>
                  <m:r>
                    <m:t>E</m:t>
                  </m:r>
                </m:e>
                <m:sub>
                  <m:r>
                    <m:t>d</m:t>
                  </m:r>
                  <m:r>
                    <m:t>i</m:t>
                  </m:r>
                  <m:r>
                    <m:t>s</m:t>
                  </m:r>
                </m:sub>
              </m:sSub>
            </m:oMath>
          </w:p>
        </w:tc>
        <w:tc>
          <w:tcPr/>
          <w:p>
            <w:pPr>
              <w:pStyle w:val="Compact"/>
            </w:pPr>
            <w:r>
              <w:t xml:space="preserve">individuelle Exposition</w:t>
            </w:r>
          </w:p>
        </w:tc>
      </w:tr>
      <w:tr>
        <w:tc>
          <w:tcPr/>
          <w:p>
            <w:pPr>
              <w:pStyle w:val="Compact"/>
            </w:pPr>
            <m:oMath>
              <m:sSub>
                <m:e>
                  <m:r>
                    <m:t>r</m:t>
                  </m:r>
                </m:e>
                <m:sub>
                  <m:r>
                    <m:t>d</m:t>
                  </m:r>
                  <m:r>
                    <m:t>i</m:t>
                  </m:r>
                  <m:r>
                    <m:t>s</m:t>
                  </m:r>
                  <m:r>
                    <m:t>k</m:t>
                  </m:r>
                </m:sub>
              </m:sSub>
            </m:oMath>
          </w:p>
        </w:tc>
        <w:tc>
          <w:tcPr/>
          <w:p>
            <w:pPr>
              <w:pStyle w:val="Compact"/>
            </w:pPr>
            <w:r>
              <w:t xml:space="preserve">Ereignisrate je Exposition</w:t>
            </w:r>
          </w:p>
        </w:tc>
      </w:tr>
      <w:tr>
        <w:tc>
          <w:tcPr/>
          <w:p>
            <w:pPr>
              <w:pStyle w:val="Compact"/>
            </w:pPr>
            <m:oMath>
              <m:sSub>
                <m:e>
                  <m:r>
                    <m:t>B</m:t>
                  </m:r>
                </m:e>
                <m:sub>
                  <m:r>
                    <m:t>d</m:t>
                  </m:r>
                  <m:r>
                    <m:t>i</m:t>
                  </m:r>
                  <m:r>
                    <m:t>s</m:t>
                  </m:r>
                  <m:r>
                    <m:t>k</m:t>
                  </m:r>
                </m:sub>
              </m:sSub>
            </m:oMath>
          </w:p>
        </w:tc>
        <w:tc>
          <w:tcPr/>
          <w:p>
            <w:pPr>
              <w:pStyle w:val="Compact"/>
            </w:pPr>
            <w:r>
              <w:t xml:space="preserve">kombinierte Barrierenwirkung</w:t>
            </w:r>
          </w:p>
        </w:tc>
      </w:tr>
      <w:tr>
        <w:tc>
          <w:tcPr/>
          <w:p>
            <w:pPr>
              <w:pStyle w:val="Compact"/>
            </w:pPr>
            <m:oMath>
              <m:sSub>
                <m:e>
                  <m:r>
                    <m:t>H</m:t>
                  </m:r>
                </m:e>
                <m:sub>
                  <m:r>
                    <m:t>d</m:t>
                  </m:r>
                  <m:r>
                    <m:t>i</m:t>
                  </m:r>
                  <m:r>
                    <m:t>s</m:t>
                  </m:r>
                  <m:r>
                    <m:t>q</m:t>
                  </m:r>
                </m:sub>
              </m:sSub>
            </m:oMath>
          </w:p>
        </w:tc>
        <w:tc>
          <w:tcPr/>
          <w:p>
            <w:pPr>
              <w:pStyle w:val="Compact"/>
            </w:pPr>
            <w:r>
              <w:t xml:space="preserve">endpunktspezifischer Hazardbeitrag</w:t>
            </w:r>
          </w:p>
        </w:tc>
      </w:tr>
      <w:tr>
        <w:tc>
          <w:tcPr/>
          <w:p>
            <w:pPr>
              <w:pStyle w:val="Compact"/>
            </w:pPr>
            <m:oMath>
              <m:sSub>
                <m:e>
                  <m:r>
                    <m:t>P</m:t>
                  </m:r>
                </m:e>
                <m:sub>
                  <m:r>
                    <m:t>q</m:t>
                  </m:r>
                </m:sub>
              </m:sSub>
            </m:oMath>
          </w:p>
        </w:tc>
        <w:tc>
          <w:tcPr/>
          <w:p>
            <w:pPr>
              <w:pStyle w:val="Compact"/>
            </w:pPr>
            <w:r>
              <w:t xml:space="preserve">Tageswahrscheinlichkeit des Endpunkts</w:t>
            </w:r>
          </w:p>
        </w:tc>
      </w:tr>
      <w:tr>
        <w:tc>
          <w:tcPr/>
          <w:p>
            <w:pPr>
              <w:pStyle w:val="Compact"/>
            </w:pPr>
            <m:oMath>
              <m:r>
                <m:t>θ</m:t>
              </m:r>
            </m:oMath>
          </w:p>
        </w:tc>
        <w:tc>
          <w:tcPr/>
          <w:p>
            <w:pPr>
              <w:pStyle w:val="Compact"/>
            </w:pPr>
            <w:r>
              <w:t xml:space="preserve">Vektor unbekannter Modellparameter</w:t>
            </w:r>
          </w:p>
        </w:tc>
      </w:tr>
    </w:tbl>
    <w:bookmarkEnd w:id="33"/>
    <w:bookmarkStart w:id="34" w:name="basisrisiko"/>
    <w:p>
      <w:pPr>
        <w:pStyle w:val="Heading2"/>
      </w:pPr>
      <w:r>
        <w:rPr>
          <w:rStyle w:val="SectionNumber"/>
        </w:rPr>
        <w:t xml:space="preserve">4.2</w:t>
      </w:r>
      <w:r>
        <w:tab/>
      </w:r>
      <w:r>
        <w:t xml:space="preserve">3.2 Basisrisiko</w:t>
      </w:r>
    </w:p>
    <w:p>
      <w:pPr>
        <w:pStyle w:val="FirstParagraph"/>
      </w:pPr>
      <w:r>
        <w:t xml:space="preserve">Das ursprüngliche P-QRA-Paper enthält ein alters- oder zeitabhängiges Hintergrundrisiko. Es kann als Gompertz-artiger Hazard geschrieben werden:</w:t>
      </w:r>
    </w:p>
    <w:p>
      <w:pPr>
        <w:pStyle w:val="BodyText"/>
      </w:pPr>
      <m:oMathPara>
        <m:oMathParaPr>
          <m:jc m:val="center"/>
        </m:oMathParaPr>
        <m:oMath>
          <m:sSub>
            <m:e>
              <m:r>
                <m:t>λ</m:t>
              </m:r>
            </m:e>
            <m:sub>
              <m:r>
                <m:rPr>
                  <m:sty m:val="p"/>
                </m:rPr>
                <m:t>b</m:t>
              </m:r>
              <m:r>
                <m:rPr>
                  <m:sty m:val="p"/>
                </m:rPr>
                <m:t>a</m:t>
              </m:r>
              <m:r>
                <m:rPr>
                  <m:sty m:val="p"/>
                </m:rPr>
                <m:t>s</m:t>
              </m:r>
              <m:r>
                <m:rPr>
                  <m:sty m:val="p"/>
                </m:rPr>
                <m:t>e</m:t>
              </m:r>
            </m:sub>
          </m:sSub>
          <m:r>
            <m:rPr>
              <m:sty m:val="p"/>
            </m:rPr>
            <m:t>(</m:t>
          </m:r>
          <m:r>
            <m:t>t</m:t>
          </m:r>
          <m:r>
            <m:rPr>
              <m:sty m:val="p"/>
            </m:rPr>
            <m:t>)</m:t>
          </m:r>
          <m:r>
            <m:rPr>
              <m:sty m:val="p"/>
            </m:rPr>
            <m:t>=</m:t>
          </m:r>
          <m:r>
            <m:t>R</m:t>
          </m:r>
          <m:r>
            <m:rPr>
              <m:sty m:val="p"/>
            </m:rPr>
            <m:t>(</m:t>
          </m:r>
          <m:r>
            <m:t>t</m:t>
          </m:r>
          <m:r>
            <m:rPr>
              <m:sty m:val="p"/>
            </m:rPr>
            <m:t>)</m:t>
          </m:r>
          <m:r>
            <m:t>a</m:t>
          </m:r>
          <m:sSup>
            <m:e>
              <m:r>
                <m:t>e</m:t>
              </m:r>
            </m:e>
            <m:sup>
              <m:r>
                <m:t>b</m:t>
              </m:r>
              <m:r>
                <m:t>t</m:t>
              </m:r>
            </m:sup>
          </m:sSup>
          <m:r>
            <m:rPr>
              <m:sty m:val="p"/>
            </m:rPr>
            <m:t>.</m:t>
          </m:r>
        </m:oMath>
      </m:oMathPara>
    </w:p>
    <w:p>
      <w:pPr>
        <w:pStyle w:val="FirstParagraph"/>
      </w:pPr>
      <w:r>
        <w:t xml:space="preserve">Für ein tägliches Zeitfenster wird der Jahres- oder kontinuierliche Hazard passend normiert:</w:t>
      </w:r>
    </w:p>
    <w:p>
      <w:pPr>
        <w:pStyle w:val="BodyText"/>
      </w:pPr>
      <m:oMathPara>
        <m:oMathParaPr>
          <m:jc m:val="center"/>
        </m:oMathParaPr>
        <m:oMath>
          <m:sSub>
            <m:e>
              <m:r>
                <m:t>H</m:t>
              </m:r>
            </m:e>
            <m:sub>
              <m:r>
                <m:rPr>
                  <m:sty m:val="p"/>
                </m:rPr>
                <m:t>b</m:t>
              </m:r>
              <m:r>
                <m:rPr>
                  <m:sty m:val="p"/>
                </m:rPr>
                <m:t>a</m:t>
              </m:r>
              <m:r>
                <m:rPr>
                  <m:sty m:val="p"/>
                </m:rPr>
                <m:t>s</m:t>
              </m:r>
              <m:r>
                <m:rPr>
                  <m:sty m:val="p"/>
                </m:rPr>
                <m:t>e</m:t>
              </m:r>
              <m:r>
                <m:rPr>
                  <m:sty m:val="p"/>
                </m:rPr>
                <m:t>,</m:t>
              </m:r>
              <m:r>
                <m:rPr>
                  <m:sty m:val="p"/>
                </m:rPr>
                <m:t>d</m:t>
              </m:r>
              <m:r>
                <m:rPr>
                  <m:sty m:val="p"/>
                </m:rPr>
                <m:t>a</m:t>
              </m:r>
              <m:r>
                <m:rPr>
                  <m:sty m:val="p"/>
                </m:rPr>
                <m:t>y</m:t>
              </m:r>
            </m:sub>
          </m:sSub>
          <m:r>
            <m:rPr>
              <m:sty m:val="p"/>
            </m:rPr>
            <m:t>(</m:t>
          </m:r>
          <m:r>
            <m:t>t</m:t>
          </m:r>
          <m:r>
            <m:rPr>
              <m:sty m:val="p"/>
            </m:rPr>
            <m:t>)</m:t>
          </m:r>
          <m:r>
            <m:rPr>
              <m:sty m:val="p"/>
            </m:rPr>
            <m:t>≈</m:t>
          </m:r>
          <m:f>
            <m:fPr>
              <m:type m:val="bar"/>
            </m:fPr>
            <m:num>
              <m:r>
                <m:t>R</m:t>
              </m:r>
              <m:r>
                <m:rPr>
                  <m:sty m:val="p"/>
                </m:rPr>
                <m:t>(</m:t>
              </m:r>
              <m:r>
                <m:t>t</m:t>
              </m:r>
              <m:r>
                <m:rPr>
                  <m:sty m:val="p"/>
                </m:rPr>
                <m:t>)</m:t>
              </m:r>
              <m:r>
                <m:t>a</m:t>
              </m:r>
              <m:sSup>
                <m:e>
                  <m:r>
                    <m:t>e</m:t>
                  </m:r>
                </m:e>
                <m:sup>
                  <m:r>
                    <m:t>b</m:t>
                  </m:r>
                  <m:r>
                    <m:t>t</m:t>
                  </m:r>
                </m:sup>
              </m:sSup>
            </m:num>
            <m:den>
              <m:r>
                <m:t>365</m:t>
              </m:r>
            </m:den>
          </m:f>
          <m:r>
            <m:rPr>
              <m:sty m:val="p"/>
            </m:rPr>
            <m:t>,</m:t>
          </m:r>
        </m:oMath>
      </m:oMathPara>
    </w:p>
    <w:p>
      <w:pPr>
        <w:pStyle w:val="FirstParagraph"/>
      </w:pPr>
      <w:r>
        <w:t xml:space="preserve">sofern</w:t>
      </w:r>
      <w:r>
        <w:t xml:space="preserve"> </w:t>
      </w:r>
      <m:oMath>
        <m:r>
          <m:t>a</m:t>
        </m:r>
        <m:sSup>
          <m:e>
            <m:r>
              <m:t>e</m:t>
            </m:r>
          </m:e>
          <m:sup>
            <m:r>
              <m:t>b</m:t>
            </m:r>
            <m:r>
              <m:t>t</m:t>
            </m:r>
          </m:sup>
        </m:sSup>
      </m:oMath>
      <w:r>
        <w:t xml:space="preserve"> </w:t>
      </w:r>
      <w:r>
        <w:t xml:space="preserve">als Jahres-Hazard interpretiert wird. Diese Einheitenannahme muss im Parametervertrag festgelegt sein. Wird</w:t>
      </w:r>
      <w:r>
        <w:t xml:space="preserve"> </w:t>
      </w:r>
      <m:oMath>
        <m:r>
          <m:t>a</m:t>
        </m:r>
        <m:sSup>
          <m:e>
            <m:r>
              <m:t>e</m:t>
            </m:r>
          </m:e>
          <m:sup>
            <m:r>
              <m:t>b</m:t>
            </m:r>
            <m:r>
              <m:t>t</m:t>
            </m:r>
          </m:sup>
        </m:sSup>
      </m:oMath>
      <w:r>
        <w:t xml:space="preserve"> </w:t>
      </w:r>
      <w:r>
        <w:t xml:space="preserve">bereits als kontinuierliche Tagesintensität geschätzt, entfällt die Division durch 365. RiskAI darf die Einheit nicht aus der Formel erraten.</w:t>
      </w:r>
    </w:p>
    <w:bookmarkEnd w:id="34"/>
    <w:bookmarkStart w:id="35" w:name="aktivitätsspezifische-hazards"/>
    <w:p>
      <w:pPr>
        <w:pStyle w:val="Heading2"/>
      </w:pPr>
      <w:r>
        <w:rPr>
          <w:rStyle w:val="SectionNumber"/>
        </w:rPr>
        <w:t xml:space="preserve">4.3</w:t>
      </w:r>
      <w:r>
        <w:tab/>
      </w:r>
      <w:r>
        <w:t xml:space="preserve">3.3 Aktivitätsspezifische Hazards</w:t>
      </w:r>
    </w:p>
    <w:p>
      <w:pPr>
        <w:pStyle w:val="FirstParagraph"/>
      </w:pPr>
      <w:r>
        <w:t xml:space="preserve">Für Aktivität</w:t>
      </w:r>
      <w:r>
        <w:t xml:space="preserve"> </w:t>
      </w:r>
      <m:oMath>
        <m:r>
          <m:t>i</m:t>
        </m:r>
      </m:oMath>
      <w:r>
        <w:t xml:space="preserve"> </w:t>
      </w:r>
      <w:r>
        <w:t xml:space="preserve">in Domäne</w:t>
      </w:r>
      <w:r>
        <w:t xml:space="preserve"> </w:t>
      </w:r>
      <m:oMath>
        <m:r>
          <m:t>d</m:t>
        </m:r>
      </m:oMath>
      <w:r>
        <w:t xml:space="preserve"> </w:t>
      </w:r>
      <w:r>
        <w:t xml:space="preserve">und Endpunkt</w:t>
      </w:r>
      <w:r>
        <w:t xml:space="preserve"> </w:t>
      </w:r>
      <m:oMath>
        <m:r>
          <m:t>q</m:t>
        </m:r>
      </m:oMath>
      <w:r>
        <w:t xml:space="preserve"> </w:t>
      </w:r>
      <w:r>
        <w:t xml:space="preserve">ist der einfachste Hazard</w:t>
      </w:r>
    </w:p>
    <w:p>
      <w:pPr>
        <w:pStyle w:val="BodyText"/>
      </w:pPr>
      <m:oMathPara>
        <m:oMathParaPr>
          <m:jc m:val="center"/>
        </m:oMathParaPr>
        <m:oMath>
          <m:sSub>
            <m:e>
              <m:r>
                <m:t>H</m:t>
              </m:r>
            </m:e>
            <m:sub>
              <m:r>
                <m:t>d</m:t>
              </m:r>
              <m:r>
                <m:t>i</m:t>
              </m:r>
              <m:r>
                <m:t>q</m:t>
              </m:r>
            </m:sub>
          </m:sSub>
          <m:r>
            <m:rPr>
              <m:sty m:val="p"/>
            </m:rPr>
            <m:t>=</m:t>
          </m:r>
          <m:sSub>
            <m:e>
              <m:r>
                <m:t>E</m:t>
              </m:r>
            </m:e>
            <m:sub>
              <m:r>
                <m:t>d</m:t>
              </m:r>
              <m:r>
                <m:t>i</m:t>
              </m:r>
            </m:sub>
          </m:sSub>
          <m:r>
            <m:t> </m:t>
          </m:r>
          <m:sSub>
            <m:e>
              <m:r>
                <m:t>r</m:t>
              </m:r>
            </m:e>
            <m:sub>
              <m:r>
                <m:t>d</m:t>
              </m:r>
              <m:r>
                <m:t>i</m:t>
              </m:r>
              <m:r>
                <m:t>q</m:t>
              </m:r>
            </m:sub>
          </m:sSub>
          <m:r>
            <m:rPr>
              <m:sty m:val="p"/>
            </m:rPr>
            <m:t>.</m:t>
          </m:r>
        </m:oMath>
      </m:oMathPara>
    </w:p>
    <w:p>
      <w:pPr>
        <w:pStyle w:val="FirstParagraph"/>
      </w:pPr>
      <w:r>
        <w:t xml:space="preserve">Mit Kovariaten</w:t>
      </w:r>
      <w:r>
        <w:t xml:space="preserve"> </w:t>
      </w:r>
      <m:oMath>
        <m:sSub>
          <m:e>
            <m:r>
              <m:t>x</m:t>
            </m:r>
          </m:e>
          <m:sub>
            <m:r>
              <m:t>d</m:t>
            </m:r>
            <m:r>
              <m:t>i</m:t>
            </m:r>
          </m:sub>
        </m:sSub>
      </m:oMath>
      <w:r>
        <w:t xml:space="preserve"> </w:t>
      </w:r>
      <w:r>
        <w:t xml:space="preserve">und Barrieren</w:t>
      </w:r>
      <w:r>
        <w:t xml:space="preserve"> </w:t>
      </w:r>
      <m:oMath>
        <m:sSub>
          <m:e>
            <m:r>
              <m:t>z</m:t>
            </m:r>
          </m:e>
          <m:sub>
            <m:r>
              <m:t>d</m:t>
            </m:r>
            <m:r>
              <m:t>i</m:t>
            </m:r>
          </m:sub>
        </m:sSub>
      </m:oMath>
      <w:r>
        <w:t xml:space="preserve"> </w:t>
      </w:r>
      <w:r>
        <w:t xml:space="preserve">wird daraus</w:t>
      </w:r>
    </w:p>
    <w:p>
      <w:pPr>
        <w:pStyle w:val="BodyText"/>
      </w:pPr>
      <m:oMathPara>
        <m:oMathParaPr>
          <m:jc m:val="center"/>
        </m:oMathParaPr>
        <m:oMath>
          <m:sSub>
            <m:e>
              <m:r>
                <m:t>H</m:t>
              </m:r>
            </m:e>
            <m:sub>
              <m:r>
                <m:t>d</m:t>
              </m:r>
              <m:r>
                <m:t>i</m:t>
              </m:r>
              <m:r>
                <m:t>q</m:t>
              </m:r>
            </m:sub>
          </m:sSub>
          <m:r>
            <m:rPr>
              <m:sty m:val="p"/>
            </m:rPr>
            <m:t>=</m:t>
          </m:r>
          <m:sSub>
            <m:e>
              <m:r>
                <m:t>E</m:t>
              </m:r>
            </m:e>
            <m:sub>
              <m:r>
                <m:t>d</m:t>
              </m:r>
              <m:r>
                <m:t>i</m:t>
              </m:r>
            </m:sub>
          </m:sSub>
          <m:r>
            <m:t> </m:t>
          </m:r>
          <m:sSub>
            <m:e>
              <m:r>
                <m:t>r</m:t>
              </m:r>
            </m:e>
            <m:sub>
              <m:r>
                <m:t>d</m:t>
              </m:r>
              <m:r>
                <m:t>i</m:t>
              </m:r>
              <m:r>
                <m:t>q</m:t>
              </m:r>
            </m:sub>
          </m:sSub>
          <m:r>
            <m:rPr>
              <m:sty m:val="p"/>
            </m:rPr>
            <m:t>(</m:t>
          </m:r>
          <m:sSub>
            <m:e>
              <m:r>
                <m:t>x</m:t>
              </m:r>
            </m:e>
            <m:sub>
              <m:r>
                <m:t>d</m:t>
              </m:r>
              <m:r>
                <m:t>i</m:t>
              </m:r>
            </m:sub>
          </m:sSub>
          <m:r>
            <m:rPr>
              <m:sty m:val="p"/>
            </m:rPr>
            <m:t>)</m:t>
          </m:r>
          <m:r>
            <m:t> </m:t>
          </m:r>
          <m:sSub>
            <m:e>
              <m:r>
                <m:t>B</m:t>
              </m:r>
            </m:e>
            <m:sub>
              <m:r>
                <m:t>d</m:t>
              </m:r>
              <m:r>
                <m:t>i</m:t>
              </m:r>
              <m:r>
                <m:t>q</m:t>
              </m:r>
            </m:sub>
          </m:sSub>
          <m:r>
            <m:rPr>
              <m:sty m:val="p"/>
            </m:rPr>
            <m:t>(</m:t>
          </m:r>
          <m:sSub>
            <m:e>
              <m:r>
                <m:t>z</m:t>
              </m:r>
            </m:e>
            <m:sub>
              <m:r>
                <m:t>d</m:t>
              </m:r>
              <m:r>
                <m:t>i</m:t>
              </m:r>
            </m:sub>
          </m:sSub>
          <m:r>
            <m:rPr>
              <m:sty m:val="p"/>
            </m:rPr>
            <m:t>)</m:t>
          </m:r>
          <m:r>
            <m:rPr>
              <m:sty m:val="p"/>
            </m:rPr>
            <m:t>.</m:t>
          </m:r>
        </m:oMath>
      </m:oMathPara>
    </w:p>
    <w:p>
      <w:pPr>
        <w:pStyle w:val="FirstParagraph"/>
      </w:pPr>
      <w:r>
        <w:t xml:space="preserve">Die Dimensionsanalyse verlangt</w:t>
      </w:r>
    </w:p>
    <w:p>
      <w:pPr>
        <w:pStyle w:val="BodyText"/>
      </w:pPr>
      <m:oMathPara>
        <m:oMathParaPr>
          <m:jc m:val="center"/>
        </m:oMathParaPr>
        <m:oMath>
          <m:r>
            <m:rPr>
              <m:sty m:val="p"/>
            </m:rPr>
            <m:t>[</m:t>
          </m:r>
          <m:sSub>
            <m:e>
              <m:r>
                <m:t>E</m:t>
              </m:r>
            </m:e>
            <m:sub>
              <m:r>
                <m:t>d</m:t>
              </m:r>
              <m:r>
                <m:t>i</m:t>
              </m:r>
            </m:sub>
          </m:sSub>
          <m:r>
            <m:rPr>
              <m:sty m:val="p"/>
            </m:rPr>
            <m:t>]</m:t>
          </m:r>
          <m:r>
            <m:t> </m:t>
          </m:r>
          <m:r>
            <m:rPr>
              <m:sty m:val="p"/>
            </m:rPr>
            <m:t>[</m:t>
          </m:r>
          <m:sSub>
            <m:e>
              <m:r>
                <m:t>r</m:t>
              </m:r>
            </m:e>
            <m:sub>
              <m:r>
                <m:t>d</m:t>
              </m:r>
              <m:r>
                <m:t>i</m:t>
              </m:r>
              <m:r>
                <m:t>q</m:t>
              </m:r>
            </m:sub>
          </m:sSub>
          <m:r>
            <m:rPr>
              <m:sty m:val="p"/>
            </m:rPr>
            <m:t>]</m:t>
          </m:r>
          <m:r>
            <m:rPr>
              <m:sty m:val="p"/>
            </m:rPr>
            <m:t>=</m:t>
          </m:r>
          <m:r>
            <m:rPr>
              <m:nor/>
              <m:sty m:val="p"/>
            </m:rPr>
            <m:t>Exposure</m:t>
          </m:r>
          <m:r>
            <m:rPr>
              <m:sty m:val="p"/>
            </m:rPr>
            <m:t>×</m:t>
          </m:r>
          <m:sSup>
            <m:e>
              <m:r>
                <m:rPr>
                  <m:nor/>
                  <m:sty m:val="p"/>
                </m:rPr>
                <m:t>Exposure</m:t>
              </m:r>
            </m:e>
            <m:sup>
              <m:r>
                <m:rPr>
                  <m:sty m:val="p"/>
                </m:rPr>
                <m:t>−</m:t>
              </m:r>
              <m:r>
                <m:t>1</m:t>
              </m:r>
            </m:sup>
          </m:sSup>
          <m:r>
            <m:rPr>
              <m:sty m:val="p"/>
            </m:rPr>
            <m:t>=</m:t>
          </m:r>
          <m:r>
            <m:t>1</m:t>
          </m:r>
          <m:r>
            <m:rPr>
              <m:sty m:val="p"/>
            </m:rPr>
            <m:t>,</m:t>
          </m:r>
        </m:oMath>
      </m:oMathPara>
    </w:p>
    <w:p>
      <w:pPr>
        <w:pStyle w:val="FirstParagraph"/>
      </w:pPr>
      <w:r>
        <w:t xml:space="preserve">sodass</w:t>
      </w:r>
      <w:r>
        <w:t xml:space="preserve"> </w:t>
      </w:r>
      <m:oMath>
        <m:sSub>
          <m:e>
            <m:r>
              <m:t>H</m:t>
            </m:r>
          </m:e>
          <m:sub>
            <m:r>
              <m:t>d</m:t>
            </m:r>
            <m:r>
              <m:t>i</m:t>
            </m:r>
            <m:r>
              <m:t>q</m:t>
            </m:r>
          </m:sub>
        </m:sSub>
      </m:oMath>
      <w:r>
        <w:t xml:space="preserve"> </w:t>
      </w:r>
      <w:r>
        <w:t xml:space="preserve">dimensionslos ist.</w:t>
      </w:r>
    </w:p>
    <w:bookmarkEnd w:id="35"/>
    <w:bookmarkStart w:id="36" w:name="tagesaggregation"/>
    <w:p>
      <w:pPr>
        <w:pStyle w:val="Heading2"/>
      </w:pPr>
      <w:r>
        <w:rPr>
          <w:rStyle w:val="SectionNumber"/>
        </w:rPr>
        <w:t xml:space="preserve">4.4</w:t>
      </w:r>
      <w:r>
        <w:tab/>
      </w:r>
      <w:r>
        <w:t xml:space="preserve">3.4 Tagesaggregation</w:t>
      </w:r>
    </w:p>
    <w:p>
      <w:pPr>
        <w:pStyle w:val="FirstParagraph"/>
      </w:pPr>
      <w:r>
        <w:t xml:space="preserve">Wenn Aktivitäten über den betrachteten Zeitraum bedingt unabhängig sind und dieselbe Endpunktdefinition verwenden, addieren sich Hazards:</w:t>
      </w:r>
    </w:p>
    <w:p>
      <w:pPr>
        <w:pStyle w:val="BodyText"/>
      </w:pPr>
      <m:oMathPara>
        <m:oMathParaPr>
          <m:jc m:val="center"/>
        </m:oMathParaPr>
        <m:oMath>
          <m:sSub>
            <m:e>
              <m:r>
                <m:t>H</m:t>
              </m:r>
            </m:e>
            <m:sub>
              <m:r>
                <m:t>q</m:t>
              </m:r>
              <m:r>
                <m:rPr>
                  <m:sty m:val="p"/>
                </m:rPr>
                <m:t>,</m:t>
              </m:r>
              <m:r>
                <m:rPr>
                  <m:sty m:val="p"/>
                </m:rPr>
                <m:t>d</m:t>
              </m:r>
              <m:r>
                <m:rPr>
                  <m:sty m:val="p"/>
                </m:rPr>
                <m:t>a</m:t>
              </m:r>
              <m:r>
                <m:rPr>
                  <m:sty m:val="p"/>
                </m:rPr>
                <m:t>y</m:t>
              </m:r>
            </m:sub>
          </m:sSub>
          <m:r>
            <m:rPr>
              <m:sty m:val="p"/>
            </m:rPr>
            <m:t>=</m:t>
          </m:r>
          <m:sSub>
            <m:e>
              <m:r>
                <m:rPr>
                  <m:sty m:val="b"/>
                </m:rPr>
                <m:t>1</m:t>
              </m:r>
            </m:e>
            <m:sub>
              <m:r>
                <m:rPr>
                  <m:sty m:val="p"/>
                </m:rPr>
                <m:t>{</m:t>
              </m:r>
              <m:r>
                <m:t>q</m:t>
              </m:r>
              <m:r>
                <m:rPr>
                  <m:sty m:val="p"/>
                </m:rPr>
                <m:t>=</m:t>
              </m:r>
              <m:r>
                <m:rPr>
                  <m:sty m:val="p"/>
                </m:rPr>
                <m:t>d</m:t>
              </m:r>
              <m:r>
                <m:rPr>
                  <m:sty m:val="p"/>
                </m:rPr>
                <m:t>e</m:t>
              </m:r>
              <m:r>
                <m:rPr>
                  <m:sty m:val="p"/>
                </m:rPr>
                <m:t>a</m:t>
              </m:r>
              <m:r>
                <m:rPr>
                  <m:sty m:val="p"/>
                </m:rPr>
                <m:t>t</m:t>
              </m:r>
              <m:r>
                <m:rPr>
                  <m:sty m:val="p"/>
                </m:rPr>
                <m:t>h</m:t>
              </m:r>
              <m:r>
                <m:rPr>
                  <m:sty m:val="p"/>
                </m:rPr>
                <m:t>}</m:t>
              </m:r>
            </m:sub>
          </m:sSub>
          <m:sSub>
            <m:e>
              <m:r>
                <m:t>H</m:t>
              </m:r>
            </m:e>
            <m:sub>
              <m:r>
                <m:rPr>
                  <m:sty m:val="p"/>
                </m:rPr>
                <m:t>b</m:t>
              </m:r>
              <m:r>
                <m:rPr>
                  <m:sty m:val="p"/>
                </m:rPr>
                <m:t>a</m:t>
              </m:r>
              <m:r>
                <m:rPr>
                  <m:sty m:val="p"/>
                </m:rPr>
                <m:t>s</m:t>
              </m:r>
              <m:r>
                <m:rPr>
                  <m:sty m:val="p"/>
                </m:rPr>
                <m:t>e</m:t>
              </m:r>
              <m:r>
                <m:rPr>
                  <m:sty m:val="p"/>
                </m:rPr>
                <m:t>,</m:t>
              </m:r>
              <m:r>
                <m:rPr>
                  <m:sty m:val="p"/>
                </m:rPr>
                <m:t>d</m:t>
              </m:r>
              <m:r>
                <m:rPr>
                  <m:sty m:val="p"/>
                </m:rPr>
                <m:t>a</m:t>
              </m:r>
              <m:r>
                <m:rPr>
                  <m:sty m:val="p"/>
                </m:rPr>
                <m:t>y</m:t>
              </m:r>
            </m:sub>
          </m:sSub>
          <m:r>
            <m:rPr>
              <m:sty m:val="p"/>
            </m:rPr>
            <m:t>+</m:t>
          </m:r>
          <m:nary>
            <m:naryPr>
              <m:chr m:val="∑"/>
              <m:limLoc m:val="undOvr"/>
              <m:subHide m:val="off"/>
              <m:supHide m:val="on"/>
            </m:naryPr>
            <m:sub>
              <m:r>
                <m:t>d</m:t>
              </m:r>
            </m:sub>
            <m:sup>
              <m:r>
                <m:t>​</m:t>
              </m:r>
            </m:sup>
            <m:e>
              <m:nary>
                <m:naryPr>
                  <m:chr m:val="∑"/>
                  <m:limLoc m:val="undOvr"/>
                  <m:subHide m:val="off"/>
                  <m:supHide m:val="on"/>
                </m:naryPr>
                <m:sub>
                  <m:r>
                    <m:t>i</m:t>
                  </m:r>
                </m:sub>
                <m:sup>
                  <m:r>
                    <m:t>​</m:t>
                  </m:r>
                </m:sup>
                <m:e>
                  <m:sSub>
                    <m:e>
                      <m:r>
                        <m:t>H</m:t>
                      </m:r>
                    </m:e>
                    <m:sub>
                      <m:r>
                        <m:t>d</m:t>
                      </m:r>
                      <m:r>
                        <m:t>i</m:t>
                      </m:r>
                      <m:r>
                        <m:t>q</m:t>
                      </m:r>
                    </m:sub>
                  </m:sSub>
                </m:e>
              </m:nary>
            </m:e>
          </m:nary>
          <m:r>
            <m:rPr>
              <m:sty m:val="p"/>
            </m:rPr>
            <m:t>.</m:t>
          </m:r>
        </m:oMath>
      </m:oMathPara>
    </w:p>
    <w:p>
      <w:pPr>
        <w:pStyle w:val="FirstParagraph"/>
      </w:pPr>
      <w:r>
        <w:t xml:space="preserve">Die Tageswahrscheinlichkeit lautet</w:t>
      </w:r>
    </w:p>
    <w:p>
      <w:pPr>
        <w:pStyle w:val="BodyText"/>
      </w:pPr>
      <m:oMathPara>
        <m:oMathParaPr>
          <m:jc m:val="center"/>
        </m:oMathParaPr>
        <m:oMath>
          <m:sSub>
            <m:e>
              <m:r>
                <m:t>P</m:t>
              </m:r>
            </m:e>
            <m:sub>
              <m:r>
                <m:t>q</m:t>
              </m:r>
              <m:r>
                <m:rPr>
                  <m:sty m:val="p"/>
                </m:rPr>
                <m:t>,</m:t>
              </m:r>
              <m:r>
                <m:rPr>
                  <m:sty m:val="p"/>
                </m:rPr>
                <m:t>d</m:t>
              </m:r>
              <m:r>
                <m:rPr>
                  <m:sty m:val="p"/>
                </m:rPr>
                <m:t>a</m:t>
              </m:r>
              <m:r>
                <m:rPr>
                  <m:sty m:val="p"/>
                </m:rPr>
                <m:t>y</m:t>
              </m:r>
            </m:sub>
          </m:sSub>
          <m:r>
            <m:rPr>
              <m:sty m:val="p"/>
            </m:rPr>
            <m:t>=</m:t>
          </m:r>
          <m:r>
            <m:t>1</m:t>
          </m:r>
          <m:r>
            <m:rPr>
              <m:sty m:val="p"/>
            </m:rPr>
            <m:t>−</m:t>
          </m:r>
          <m:r>
            <m:rPr>
              <m:sty m:val="p"/>
            </m:rPr>
            <m:t>exp</m:t>
          </m:r>
          <m:r>
            <m:rPr>
              <m:sty m:val="p"/>
            </m:rPr>
            <m:t>(</m:t>
          </m:r>
          <m:r>
            <m:rPr>
              <m:sty m:val="p"/>
            </m:rPr>
            <m:t>−</m:t>
          </m:r>
          <m:sSub>
            <m:e>
              <m:r>
                <m:t>H</m:t>
              </m:r>
            </m:e>
            <m:sub>
              <m:r>
                <m:t>q</m:t>
              </m:r>
              <m:r>
                <m:rPr>
                  <m:sty m:val="p"/>
                </m:rPr>
                <m:t>,</m:t>
              </m:r>
              <m:r>
                <m:rPr>
                  <m:sty m:val="p"/>
                </m:rPr>
                <m:t>d</m:t>
              </m:r>
              <m:r>
                <m:rPr>
                  <m:sty m:val="p"/>
                </m:rPr>
                <m:t>a</m:t>
              </m:r>
              <m:r>
                <m:rPr>
                  <m:sty m:val="p"/>
                </m:rPr>
                <m:t>y</m:t>
              </m:r>
            </m:sub>
          </m:sSub>
          <m:r>
            <m:rPr>
              <m:sty m:val="p"/>
            </m:rPr>
            <m:t>)</m:t>
          </m:r>
          <m:r>
            <m:rPr>
              <m:sty m:val="p"/>
            </m:rPr>
            <m:t>.</m:t>
          </m:r>
        </m:oMath>
      </m:oMathPara>
    </w:p>
    <w:p>
      <w:pPr>
        <w:pStyle w:val="FirstParagraph"/>
      </w:pPr>
      <w:r>
        <w:t xml:space="preserve">Alternativ, aus Einzelwahrscheinlichkeiten</w:t>
      </w:r>
      <w:r>
        <w:t xml:space="preserve"> </w:t>
      </w:r>
      <m:oMath>
        <m:sSub>
          <m:e>
            <m:r>
              <m:t>P</m:t>
            </m:r>
          </m:e>
          <m:sub>
            <m:r>
              <m:t>d</m:t>
            </m:r>
            <m:r>
              <m:t>i</m:t>
            </m:r>
            <m:r>
              <m:t>q</m:t>
            </m:r>
          </m:sub>
        </m:sSub>
        <m:r>
          <m:rPr>
            <m:sty m:val="p"/>
          </m:rPr>
          <m:t>=</m:t>
        </m:r>
        <m:r>
          <m:t>1</m:t>
        </m:r>
        <m:r>
          <m:rPr>
            <m:sty m:val="p"/>
          </m:rPr>
          <m:t>−</m:t>
        </m:r>
        <m:sSup>
          <m:e>
            <m:r>
              <m:t>e</m:t>
            </m:r>
          </m:e>
          <m:sup>
            <m:r>
              <m:rPr>
                <m:sty m:val="p"/>
              </m:rPr>
              <m:t>−</m:t>
            </m:r>
            <m:sSub>
              <m:e>
                <m:r>
                  <m:t>H</m:t>
                </m:r>
              </m:e>
              <m:sub>
                <m:r>
                  <m:t>d</m:t>
                </m:r>
                <m:r>
                  <m:t>i</m:t>
                </m:r>
                <m:r>
                  <m:t>q</m:t>
                </m:r>
              </m:sub>
            </m:sSub>
          </m:sup>
        </m:sSup>
      </m:oMath>
      <w:r>
        <w:t xml:space="preserve">:</w:t>
      </w:r>
    </w:p>
    <w:p>
      <w:pPr>
        <w:pStyle w:val="BodyText"/>
      </w:pPr>
      <m:oMathPara>
        <m:oMathParaPr>
          <m:jc m:val="center"/>
        </m:oMathParaPr>
        <m:oMath>
          <m:sSub>
            <m:e>
              <m:r>
                <m:t>P</m:t>
              </m:r>
            </m:e>
            <m:sub>
              <m:r>
                <m:t>q</m:t>
              </m:r>
              <m:r>
                <m:rPr>
                  <m:sty m:val="p"/>
                </m:rPr>
                <m:t>,</m:t>
              </m:r>
              <m:r>
                <m:rPr>
                  <m:sty m:val="p"/>
                </m:rPr>
                <m:t>d</m:t>
              </m:r>
              <m:r>
                <m:rPr>
                  <m:sty m:val="p"/>
                </m:rPr>
                <m:t>a</m:t>
              </m:r>
              <m:r>
                <m:rPr>
                  <m:sty m:val="p"/>
                </m:rPr>
                <m:t>y</m:t>
              </m:r>
            </m:sub>
          </m:sSub>
          <m:r>
            <m:rPr>
              <m:sty m:val="p"/>
            </m:rPr>
            <m:t>=</m:t>
          </m:r>
          <m:r>
            <m:t>1</m:t>
          </m:r>
          <m:r>
            <m:rPr>
              <m:sty m:val="p"/>
            </m:rPr>
            <m:t>−</m:t>
          </m:r>
          <m:nary>
            <m:naryPr>
              <m:chr m:val="∏"/>
              <m:limLoc m:val="undOvr"/>
              <m:subHide m:val="off"/>
              <m:supHide m:val="on"/>
            </m:naryPr>
            <m:sub>
              <m:r>
                <m:t>d</m:t>
              </m:r>
            </m:sub>
            <m:sup>
              <m:r>
                <m:t>​</m:t>
              </m:r>
            </m:sup>
            <m:e>
              <m:nary>
                <m:naryPr>
                  <m:chr m:val="∏"/>
                  <m:limLoc m:val="undOvr"/>
                  <m:subHide m:val="off"/>
                  <m:supHide m:val="on"/>
                </m:naryPr>
                <m:sub>
                  <m:r>
                    <m:t>i</m:t>
                  </m:r>
                </m:sub>
                <m:sup>
                  <m:r>
                    <m:t>​</m:t>
                  </m:r>
                </m:sup>
                <m:e>
                  <m:r>
                    <m:rPr>
                      <m:sty m:val="p"/>
                    </m:rPr>
                    <m:t>(</m:t>
                  </m:r>
                </m:e>
              </m:nary>
            </m:e>
          </m:nary>
          <m:r>
            <m:t>1</m:t>
          </m:r>
          <m:r>
            <m:rPr>
              <m:sty m:val="p"/>
            </m:rPr>
            <m:t>−</m:t>
          </m:r>
          <m:sSub>
            <m:e>
              <m:r>
                <m:t>P</m:t>
              </m:r>
            </m:e>
            <m:sub>
              <m:r>
                <m:t>d</m:t>
              </m:r>
              <m:r>
                <m:t>i</m:t>
              </m:r>
              <m:r>
                <m:t>q</m:t>
              </m:r>
            </m:sub>
          </m:sSub>
          <m:r>
            <m:rPr>
              <m:sty m:val="p"/>
            </m:rPr>
            <m:t>)</m:t>
          </m:r>
          <m:r>
            <m:rPr>
              <m:sty m:val="p"/>
            </m:rPr>
            <m:t>.</m:t>
          </m:r>
        </m:oMath>
      </m:oMathPara>
    </w:p>
    <w:p>
      <w:pPr>
        <w:pStyle w:val="FirstParagraph"/>
      </w:pPr>
      <w:r>
        <w:t xml:space="preserve">Gleichungen (13) und (14) sind äquivalent, weil</w:t>
      </w:r>
      <w:r>
        <w:t xml:space="preserve"> </w:t>
      </w:r>
      <m:oMath>
        <m:nary>
          <m:naryPr>
            <m:chr m:val="∏"/>
            <m:limLoc m:val="undOvr"/>
            <m:subHide m:val="off"/>
            <m:supHide m:val="on"/>
          </m:naryPr>
          <m:sub>
            <m:r>
              <m:t>i</m:t>
            </m:r>
          </m:sub>
          <m:sup>
            <m:r>
              <m:t>​</m:t>
            </m:r>
          </m:sup>
          <m:e>
            <m:sSup>
              <m:e>
                <m:r>
                  <m:t>e</m:t>
                </m:r>
              </m:e>
              <m:sup>
                <m:r>
                  <m:rPr>
                    <m:sty m:val="p"/>
                  </m:rPr>
                  <m:t>−</m:t>
                </m:r>
                <m:sSub>
                  <m:e>
                    <m:r>
                      <m:t>H</m:t>
                    </m:r>
                  </m:e>
                  <m:sub>
                    <m:r>
                      <m:t>i</m:t>
                    </m:r>
                  </m:sub>
                </m:sSub>
              </m:sup>
            </m:sSup>
          </m:e>
        </m:nary>
        <m:r>
          <m:rPr>
            <m:sty m:val="p"/>
          </m:rPr>
          <m:t>=</m:t>
        </m:r>
        <m:sSup>
          <m:e>
            <m:r>
              <m:t>e</m:t>
            </m:r>
          </m:e>
          <m:sup>
            <m:r>
              <m:rPr>
                <m:sty m:val="p"/>
              </m:rPr>
              <m:t>−</m:t>
            </m:r>
            <m:nary>
              <m:naryPr>
                <m:chr m:val="∑"/>
                <m:limLoc m:val="undOvr"/>
                <m:subHide m:val="off"/>
                <m:supHide m:val="on"/>
              </m:naryPr>
              <m:sub>
                <m:r>
                  <m:t>i</m:t>
                </m:r>
              </m:sub>
              <m:sup>
                <m:r>
                  <m:t>​</m:t>
                </m:r>
              </m:sup>
              <m:e>
                <m:sSub>
                  <m:e>
                    <m:r>
                      <m:t>H</m:t>
                    </m:r>
                  </m:e>
                  <m:sub>
                    <m:r>
                      <m:t>i</m:t>
                    </m:r>
                  </m:sub>
                </m:sSub>
              </m:e>
            </m:nary>
          </m:sup>
        </m:sSup>
      </m:oMath>
      <w:r>
        <w:t xml:space="preserve">.</w:t>
      </w:r>
    </w:p>
    <w:bookmarkEnd w:id="36"/>
    <w:bookmarkStart w:id="37" w:name="numerisches-rechenbeispiel"/>
    <w:p>
      <w:pPr>
        <w:pStyle w:val="Heading2"/>
      </w:pPr>
      <w:r>
        <w:rPr>
          <w:rStyle w:val="SectionNumber"/>
        </w:rPr>
        <w:t xml:space="preserve">4.5</w:t>
      </w:r>
      <w:r>
        <w:tab/>
      </w:r>
      <w:r>
        <w:t xml:space="preserve">3.5 Numerisches Rechenbeispiel</w:t>
      </w:r>
    </w:p>
    <w:p>
      <w:pPr>
        <w:pStyle w:val="FirstParagraph"/>
      </w:pPr>
      <w:r>
        <w:t xml:space="preserve">Angenommen, zwei Aktivitäten erzeugen Todeshazards</w:t>
      </w:r>
      <w:r>
        <w:t xml:space="preserve"> </w:t>
      </w:r>
      <m:oMath>
        <m:sSub>
          <m:e>
            <m:r>
              <m:t>H</m:t>
            </m:r>
          </m:e>
          <m:sub>
            <m:r>
              <m:t>1</m:t>
            </m:r>
          </m:sub>
        </m:sSub>
        <m:r>
          <m:rPr>
            <m:sty m:val="p"/>
          </m:rPr>
          <m:t>=</m:t>
        </m:r>
        <m:r>
          <m:t>2</m:t>
        </m:r>
        <m:r>
          <m:rPr>
            <m:sty m:val="p"/>
          </m:rPr>
          <m:t>×</m:t>
        </m:r>
        <m:sSup>
          <m:e>
            <m:r>
              <m:t>10</m:t>
            </m:r>
          </m:e>
          <m:sup>
            <m:r>
              <m:rPr>
                <m:sty m:val="p"/>
              </m:rPr>
              <m:t>−</m:t>
            </m:r>
            <m:r>
              <m:t>7</m:t>
            </m:r>
          </m:sup>
        </m:sSup>
      </m:oMath>
      <w:r>
        <w:t xml:space="preserve"> </w:t>
      </w:r>
      <w:r>
        <w:t xml:space="preserve">und</w:t>
      </w:r>
      <w:r>
        <w:t xml:space="preserve"> </w:t>
      </w:r>
      <m:oMath>
        <m:sSub>
          <m:e>
            <m:r>
              <m:t>H</m:t>
            </m:r>
          </m:e>
          <m:sub>
            <m:r>
              <m:t>2</m:t>
            </m:r>
          </m:sub>
        </m:sSub>
        <m:r>
          <m:rPr>
            <m:sty m:val="p"/>
          </m:rPr>
          <m:t>=</m:t>
        </m:r>
        <m:r>
          <m:t>8</m:t>
        </m:r>
        <m:r>
          <m:rPr>
            <m:sty m:val="p"/>
          </m:rPr>
          <m:t>×</m:t>
        </m:r>
        <m:sSup>
          <m:e>
            <m:r>
              <m:t>10</m:t>
            </m:r>
          </m:e>
          <m:sup>
            <m:r>
              <m:rPr>
                <m:sty m:val="p"/>
              </m:rPr>
              <m:t>−</m:t>
            </m:r>
            <m:r>
              <m:t>7</m:t>
            </m:r>
          </m:sup>
        </m:sSup>
      </m:oMath>
      <w:r>
        <w:t xml:space="preserve">. Dann</w:t>
      </w:r>
    </w:p>
    <w:p>
      <w:pPr>
        <w:pStyle w:val="BodyText"/>
      </w:pPr>
      <m:oMathPara>
        <m:oMathParaPr>
          <m:jc m:val="center"/>
        </m:oMathParaPr>
        <m:oMath>
          <m:sSub>
            <m:e>
              <m:r>
                <m:t>H</m:t>
              </m:r>
            </m:e>
            <m:sub>
              <m:r>
                <m:rPr>
                  <m:sty m:val="p"/>
                </m:rPr>
                <m:t>d</m:t>
              </m:r>
              <m:r>
                <m:rPr>
                  <m:sty m:val="p"/>
                </m:rPr>
                <m:t>a</m:t>
              </m:r>
              <m:r>
                <m:rPr>
                  <m:sty m:val="p"/>
                </m:rPr>
                <m:t>y</m:t>
              </m:r>
            </m:sub>
          </m:sSub>
          <m:r>
            <m:rPr>
              <m:sty m:val="p"/>
            </m:rPr>
            <m:t>=</m:t>
          </m:r>
          <m:sSup>
            <m:e>
              <m:r>
                <m:t>10</m:t>
              </m:r>
            </m:e>
            <m:sup>
              <m:r>
                <m:rPr>
                  <m:sty m:val="p"/>
                </m:rPr>
                <m:t>−</m:t>
              </m:r>
              <m:r>
                <m:t>6</m:t>
              </m:r>
            </m:sup>
          </m:sSup>
          <m:r>
            <m:rPr>
              <m:sty m:val="p"/>
            </m:rPr>
            <m:t>.</m:t>
          </m:r>
        </m:oMath>
      </m:oMathPara>
    </w:p>
    <w:p>
      <w:pPr>
        <w:pStyle w:val="FirstParagraph"/>
      </w:pPr>
      <w:r>
        <w:t xml:space="preserve">Die exakte Wahrscheinlichkeit ist</w:t>
      </w:r>
    </w:p>
    <w:p>
      <w:pPr>
        <w:pStyle w:val="BodyText"/>
      </w:pPr>
      <m:oMathPara>
        <m:oMathParaPr>
          <m:jc m:val="center"/>
        </m:oMathParaPr>
        <m:oMath>
          <m:sSub>
            <m:e>
              <m:r>
                <m:t>P</m:t>
              </m:r>
            </m:e>
            <m:sub>
              <m:r>
                <m:rPr>
                  <m:sty m:val="p"/>
                </m:rPr>
                <m:t>d</m:t>
              </m:r>
              <m:r>
                <m:rPr>
                  <m:sty m:val="p"/>
                </m:rPr>
                <m:t>a</m:t>
              </m:r>
              <m:r>
                <m:rPr>
                  <m:sty m:val="p"/>
                </m:rPr>
                <m:t>y</m:t>
              </m:r>
            </m:sub>
          </m:sSub>
          <m:r>
            <m:rPr>
              <m:sty m:val="p"/>
            </m:rPr>
            <m:t>=</m:t>
          </m:r>
          <m:r>
            <m:t>1</m:t>
          </m:r>
          <m:r>
            <m:rPr>
              <m:sty m:val="p"/>
            </m:rPr>
            <m:t>−</m:t>
          </m:r>
          <m:sSup>
            <m:e>
              <m:r>
                <m:t>e</m:t>
              </m:r>
            </m:e>
            <m:sup>
              <m:r>
                <m:rPr>
                  <m:sty m:val="p"/>
                </m:rPr>
                <m:t>−</m:t>
              </m:r>
              <m:sSup>
                <m:e>
                  <m:r>
                    <m:t>10</m:t>
                  </m:r>
                </m:e>
                <m:sup>
                  <m:r>
                    <m:rPr>
                      <m:sty m:val="p"/>
                    </m:rPr>
                    <m:t>−</m:t>
                  </m:r>
                  <m:r>
                    <m:t>6</m:t>
                  </m:r>
                </m:sup>
              </m:sSup>
            </m:sup>
          </m:sSup>
          <m:r>
            <m:rPr>
              <m:sty m:val="p"/>
            </m:rPr>
            <m:t>=</m:t>
          </m:r>
          <m:r>
            <m:t>9.999995</m:t>
          </m:r>
          <m:r>
            <m:rPr>
              <m:sty m:val="p"/>
            </m:rPr>
            <m:t>×</m:t>
          </m:r>
          <m:sSup>
            <m:e>
              <m:r>
                <m:t>10</m:t>
              </m:r>
            </m:e>
            <m:sup>
              <m:r>
                <m:rPr>
                  <m:sty m:val="p"/>
                </m:rPr>
                <m:t>−</m:t>
              </m:r>
              <m:r>
                <m:t>7</m:t>
              </m:r>
            </m:sup>
          </m:sSup>
          <m:r>
            <m:rPr>
              <m:sty m:val="p"/>
            </m:rPr>
            <m:t>,</m:t>
          </m:r>
        </m:oMath>
      </m:oMathPara>
    </w:p>
    <w:p>
      <w:pPr>
        <w:pStyle w:val="FirstParagraph"/>
      </w:pPr>
      <w:r>
        <w:t xml:space="preserve">und damit</w:t>
      </w:r>
    </w:p>
    <w:p>
      <w:pPr>
        <w:pStyle w:val="BodyText"/>
      </w:pPr>
      <m:oMathPara>
        <m:oMathParaPr>
          <m:jc m:val="center"/>
        </m:oMathParaPr>
        <m:oMath>
          <m:sSub>
            <m:e>
              <m:r>
                <m:t>M</m:t>
              </m:r>
            </m:e>
            <m:sub>
              <m:r>
                <m:rPr>
                  <m:sty m:val="p"/>
                </m:rPr>
                <m:t>d</m:t>
              </m:r>
              <m:r>
                <m:rPr>
                  <m:sty m:val="p"/>
                </m:rPr>
                <m:t>a</m:t>
              </m:r>
              <m:r>
                <m:rPr>
                  <m:sty m:val="p"/>
                </m:rPr>
                <m:t>y</m:t>
              </m:r>
            </m:sub>
          </m:sSub>
          <m:r>
            <m:rPr>
              <m:sty m:val="p"/>
            </m:rPr>
            <m:t>=</m:t>
          </m:r>
          <m:sSup>
            <m:e>
              <m:r>
                <m:t>10</m:t>
              </m:r>
            </m:e>
            <m:sup>
              <m:r>
                <m:t>6</m:t>
              </m:r>
            </m:sup>
          </m:sSup>
          <m:sSub>
            <m:e>
              <m:r>
                <m:t>P</m:t>
              </m:r>
            </m:e>
            <m:sub>
              <m:r>
                <m:rPr>
                  <m:sty m:val="p"/>
                </m:rPr>
                <m:t>d</m:t>
              </m:r>
              <m:r>
                <m:rPr>
                  <m:sty m:val="p"/>
                </m:rPr>
                <m:t>a</m:t>
              </m:r>
              <m:r>
                <m:rPr>
                  <m:sty m:val="p"/>
                </m:rPr>
                <m:t>y</m:t>
              </m:r>
            </m:sub>
          </m:sSub>
          <m:r>
            <m:rPr>
              <m:sty m:val="p"/>
            </m:rPr>
            <m:t>≈</m:t>
          </m:r>
          <m:r>
            <m:t>0.9999995</m:t>
          </m:r>
          <m:r>
            <m:t> </m:t>
          </m:r>
          <m:r>
            <m:t>μ</m:t>
          </m:r>
          <m:r>
            <m:rPr>
              <m:sty m:val="p"/>
            </m:rPr>
            <m:t>M</m:t>
          </m:r>
          <m:r>
            <m:rPr>
              <m:sty m:val="p"/>
            </m:rPr>
            <m:t>o</m:t>
          </m:r>
          <m:r>
            <m:rPr>
              <m:sty m:val="p"/>
            </m:rPr>
            <m:t>r</m:t>
          </m:r>
          <m:r>
            <m:rPr>
              <m:sty m:val="p"/>
            </m:rPr>
            <m:t>t</m:t>
          </m:r>
          <m:r>
            <m:rPr>
              <m:sty m:val="p"/>
            </m:rPr>
            <m:t>.</m:t>
          </m:r>
        </m:oMath>
      </m:oMathPara>
    </w:p>
    <w:p>
      <w:pPr>
        <w:pStyle w:val="FirstParagraph"/>
      </w:pPr>
      <w:r>
        <w:t xml:space="preserve">Die lineare Näherung ergäbe exakt</w:t>
      </w:r>
      <w:r>
        <w:t xml:space="preserve"> </w:t>
      </w:r>
      <m:oMath>
        <m:r>
          <m:t>1</m:t>
        </m:r>
        <m:r>
          <m:t> </m:t>
        </m:r>
        <m:r>
          <m:t>μ</m:t>
        </m:r>
      </m:oMath>
      <w:r>
        <w:t xml:space="preserve">Mort. Der Unterschied ist für kleine Hazards vernachlässigbar, wird aber bei großen Expositionen relevant.</w:t>
      </w:r>
    </w:p>
    <w:bookmarkEnd w:id="37"/>
    <w:bookmarkEnd w:id="38"/>
    <w:bookmarkStart w:id="44" w:name="Xcf51fa15d45dbd6c2709d6e7a16249a24adb7fb"/>
    <w:p>
      <w:pPr>
        <w:pStyle w:val="Heading1"/>
      </w:pPr>
      <w:r>
        <w:rPr>
          <w:rStyle w:val="SectionNumber"/>
        </w:rPr>
        <w:t xml:space="preserve">5</w:t>
      </w:r>
      <w:r>
        <w:tab/>
      </w:r>
      <w:r>
        <w:t xml:space="preserve">4. Ereignisketten, konkurrierende Endpunkte und Barrieren</w:t>
      </w:r>
    </w:p>
    <w:bookmarkStart w:id="39" w:name="zweistufiges-ereignismodell"/>
    <w:p>
      <w:pPr>
        <w:pStyle w:val="Heading2"/>
      </w:pPr>
      <w:r>
        <w:rPr>
          <w:rStyle w:val="SectionNumber"/>
        </w:rPr>
        <w:t xml:space="preserve">5.1</w:t>
      </w:r>
      <w:r>
        <w:tab/>
      </w:r>
      <w:r>
        <w:t xml:space="preserve">4.1 Zweistufiges Ereignismodell</w:t>
      </w:r>
    </w:p>
    <w:p>
      <w:pPr>
        <w:pStyle w:val="FirstParagraph"/>
      </w:pPr>
      <w:r>
        <w:t xml:space="preserve">Viele Risiken lassen sich als Ereignis plus Folge formulieren. Sei</w:t>
      </w:r>
      <w:r>
        <w:t xml:space="preserve"> </w:t>
      </w:r>
      <m:oMath>
        <m:r>
          <m:t>C</m:t>
        </m:r>
      </m:oMath>
      <w:r>
        <w:t xml:space="preserve"> </w:t>
      </w:r>
      <w:r>
        <w:t xml:space="preserve">ein Unfall und</w:t>
      </w:r>
      <w:r>
        <w:t xml:space="preserve"> </w:t>
      </w:r>
      <m:oMath>
        <m:r>
          <m:t>Y</m:t>
        </m:r>
      </m:oMath>
      <w:r>
        <w:t xml:space="preserve"> </w:t>
      </w:r>
      <w:r>
        <w:t xml:space="preserve">der Endpunkt. Dann</w:t>
      </w:r>
    </w:p>
    <w:p>
      <w:pPr>
        <w:pStyle w:val="BodyText"/>
      </w:pPr>
      <m:oMathPara>
        <m:oMathParaPr>
          <m:jc m:val="center"/>
        </m:oMathParaPr>
        <m:oMath>
          <m:r>
            <m:t>P</m:t>
          </m:r>
          <m:r>
            <m:rPr>
              <m:sty m:val="p"/>
            </m:rPr>
            <m:t>(</m:t>
          </m:r>
          <m:r>
            <m:t>Y</m:t>
          </m:r>
          <m:r>
            <m:rPr>
              <m:sty m:val="p"/>
            </m:rPr>
            <m:t>=</m:t>
          </m:r>
          <m:r>
            <m:t>q</m:t>
          </m:r>
          <m:r>
            <m:rPr>
              <m:sty m:val="p"/>
            </m:rPr>
            <m:t>)</m:t>
          </m:r>
          <m:r>
            <m:rPr>
              <m:sty m:val="p"/>
            </m:rPr>
            <m:t>=</m:t>
          </m:r>
          <m:r>
            <m:t>P</m:t>
          </m:r>
          <m:r>
            <m:rPr>
              <m:sty m:val="p"/>
            </m:rPr>
            <m:t>(</m:t>
          </m:r>
          <m:r>
            <m:t>C</m:t>
          </m:r>
          <m:r>
            <m:rPr>
              <m:sty m:val="p"/>
            </m:rPr>
            <m:t>)</m:t>
          </m:r>
          <m:r>
            <m:t>P</m:t>
          </m:r>
          <m:r>
            <m:rPr>
              <m:sty m:val="p"/>
            </m:rPr>
            <m:t>(</m:t>
          </m:r>
          <m:r>
            <m:t>Y</m:t>
          </m:r>
          <m:r>
            <m:rPr>
              <m:sty m:val="p"/>
            </m:rPr>
            <m:t>=</m:t>
          </m:r>
          <m:r>
            <m:t>q</m:t>
          </m:r>
          <m:r>
            <m:rPr>
              <m:sty m:val="p"/>
            </m:rPr>
            <m:t>∣</m:t>
          </m:r>
          <m:r>
            <m:t>C</m:t>
          </m:r>
          <m:r>
            <m:rPr>
              <m:sty m:val="p"/>
            </m:rPr>
            <m:t>)</m:t>
          </m:r>
          <m:r>
            <m:rPr>
              <m:sty m:val="p"/>
            </m:rPr>
            <m:t>.</m:t>
          </m:r>
        </m:oMath>
      </m:oMathPara>
    </w:p>
    <w:p>
      <w:pPr>
        <w:pStyle w:val="FirstParagraph"/>
      </w:pPr>
      <w:r>
        <w:t xml:space="preserve">Auf Hazardebene kann bei seltenen Ereignissen näherungsweise geschrieben werden</w:t>
      </w:r>
    </w:p>
    <w:p>
      <w:pPr>
        <w:pStyle w:val="BodyText"/>
      </w:pPr>
      <m:oMathPara>
        <m:oMathParaPr>
          <m:jc m:val="center"/>
        </m:oMathParaPr>
        <m:oMath>
          <m:sSub>
            <m:e>
              <m:r>
                <m:t>H</m:t>
              </m:r>
            </m:e>
            <m:sub>
              <m:r>
                <m:t>q</m:t>
              </m:r>
            </m:sub>
          </m:sSub>
          <m:r>
            <m:rPr>
              <m:sty m:val="p"/>
            </m:rPr>
            <m:t>≈</m:t>
          </m:r>
          <m:sSub>
            <m:e>
              <m:r>
                <m:t>H</m:t>
              </m:r>
            </m:e>
            <m:sub>
              <m:r>
                <m:t>C</m:t>
              </m:r>
            </m:sub>
          </m:sSub>
          <m:r>
            <m:t> </m:t>
          </m:r>
          <m:sSub>
            <m:e>
              <m:r>
                <m:t>π</m:t>
              </m:r>
            </m:e>
            <m:sub>
              <m:r>
                <m:t>q</m:t>
              </m:r>
            </m:sub>
          </m:sSub>
          <m:r>
            <m:rPr>
              <m:sty m:val="p"/>
            </m:rPr>
            <m:t>,</m:t>
          </m:r>
          <m:r>
            <m:t>  </m:t>
          </m:r>
          <m:sSub>
            <m:e>
              <m:r>
                <m:t>π</m:t>
              </m:r>
            </m:e>
            <m:sub>
              <m:r>
                <m:t>q</m:t>
              </m:r>
            </m:sub>
          </m:sSub>
          <m:r>
            <m:rPr>
              <m:sty m:val="p"/>
            </m:rPr>
            <m:t>=</m:t>
          </m:r>
          <m:r>
            <m:t>P</m:t>
          </m:r>
          <m:r>
            <m:rPr>
              <m:sty m:val="p"/>
            </m:rPr>
            <m:t>(</m:t>
          </m:r>
          <m:r>
            <m:t>Y</m:t>
          </m:r>
          <m:r>
            <m:rPr>
              <m:sty m:val="p"/>
            </m:rPr>
            <m:t>=</m:t>
          </m:r>
          <m:r>
            <m:t>q</m:t>
          </m:r>
          <m:r>
            <m:rPr>
              <m:sty m:val="p"/>
            </m:rPr>
            <m:t>∣</m:t>
          </m:r>
          <m:r>
            <m:t>C</m:t>
          </m:r>
          <m:r>
            <m:rPr>
              <m:sty m:val="p"/>
            </m:rPr>
            <m:t>)</m:t>
          </m:r>
          <m:r>
            <m:rPr>
              <m:sty m:val="p"/>
            </m:rPr>
            <m:t>.</m:t>
          </m:r>
        </m:oMath>
      </m:oMathPara>
    </w:p>
    <w:p>
      <w:pPr>
        <w:pStyle w:val="FirstParagraph"/>
      </w:pPr>
      <w:r>
        <w:t xml:space="preserve">Für exakte Modellierung wird zunächst die Unfallwahrscheinlichkeit aus</w:t>
      </w:r>
      <w:r>
        <w:t xml:space="preserve"> </w:t>
      </w:r>
      <m:oMath>
        <m:sSub>
          <m:e>
            <m:r>
              <m:t>H</m:t>
            </m:r>
          </m:e>
          <m:sub>
            <m:r>
              <m:t>C</m:t>
            </m:r>
          </m:sub>
        </m:sSub>
      </m:oMath>
      <w:r>
        <w:t xml:space="preserve"> </w:t>
      </w:r>
      <w:r>
        <w:t xml:space="preserve">bestimmt und anschließend eine bedingte Endpunktverteilung angewandt.</w:t>
      </w:r>
    </w:p>
    <w:bookmarkEnd w:id="39"/>
    <w:bookmarkStart w:id="40" w:name="multinomiale-endpunkte"/>
    <w:p>
      <w:pPr>
        <w:pStyle w:val="Heading2"/>
      </w:pPr>
      <w:r>
        <w:rPr>
          <w:rStyle w:val="SectionNumber"/>
        </w:rPr>
        <w:t xml:space="preserve">5.2</w:t>
      </w:r>
      <w:r>
        <w:tab/>
      </w:r>
      <w:r>
        <w:t xml:space="preserve">4.2 Multinomiale Endpunkte</w:t>
      </w:r>
    </w:p>
    <w:p>
      <w:pPr>
        <w:pStyle w:val="FirstParagraph"/>
      </w:pPr>
      <w:r>
        <w:t xml:space="preserve">Die Endpunkte kein Personenschaden, leichte Verletzung, schwere Verletzung und Tod bilden bei einem einzelnen Unfall konkurrierende Ausgänge. Es gilt</w:t>
      </w:r>
    </w:p>
    <w:p>
      <w:pPr>
        <w:pStyle w:val="BodyText"/>
      </w:pPr>
      <m:oMathPara>
        <m:oMathParaPr>
          <m:jc m:val="center"/>
        </m:oMathParaPr>
        <m:oMath>
          <m:nary>
            <m:naryPr>
              <m:chr m:val="∑"/>
              <m:limLoc m:val="undOvr"/>
              <m:subHide m:val="off"/>
              <m:supHide m:val="off"/>
            </m:naryPr>
            <m:sub>
              <m:r>
                <m:t>q</m:t>
              </m:r>
              <m:r>
                <m:rPr>
                  <m:sty m:val="p"/>
                </m:rPr>
                <m:t>=</m:t>
              </m:r>
              <m:r>
                <m:t>0</m:t>
              </m:r>
            </m:sub>
            <m:sup>
              <m:r>
                <m:t>Q</m:t>
              </m:r>
            </m:sup>
            <m:e>
              <m:sSub>
                <m:e>
                  <m:r>
                    <m:t>π</m:t>
                  </m:r>
                </m:e>
                <m:sub>
                  <m:r>
                    <m:t>q</m:t>
                  </m:r>
                </m:sub>
              </m:sSub>
            </m:e>
          </m:nary>
          <m:r>
            <m:rPr>
              <m:sty m:val="p"/>
            </m:rPr>
            <m:t>(</m:t>
          </m:r>
          <m:r>
            <m:t>x</m:t>
          </m:r>
          <m:r>
            <m:rPr>
              <m:sty m:val="p"/>
            </m:rPr>
            <m:t>)</m:t>
          </m:r>
          <m:r>
            <m:rPr>
              <m:sty m:val="p"/>
            </m:rPr>
            <m:t>=</m:t>
          </m:r>
          <m:r>
            <m:t>1</m:t>
          </m:r>
          <m:r>
            <m:rPr>
              <m:sty m:val="p"/>
            </m:rPr>
            <m:t>.</m:t>
          </m:r>
        </m:oMath>
      </m:oMathPara>
    </w:p>
    <w:p>
      <w:pPr>
        <w:pStyle w:val="FirstParagraph"/>
      </w:pPr>
      <w:r>
        <w:t xml:space="preserve">Ein multinomiales Logitmodell ist</w:t>
      </w:r>
    </w:p>
    <w:p>
      <w:pPr>
        <w:pStyle w:val="BodyText"/>
      </w:pPr>
      <m:oMathPara>
        <m:oMathParaPr>
          <m:jc m:val="center"/>
        </m:oMathParaPr>
        <m:oMath>
          <m:sSub>
            <m:e>
              <m:r>
                <m:t>π</m:t>
              </m:r>
            </m:e>
            <m:sub>
              <m:r>
                <m:t>q</m:t>
              </m:r>
            </m:sub>
          </m:sSub>
          <m:r>
            <m:rPr>
              <m:sty m:val="p"/>
            </m:rPr>
            <m:t>(</m:t>
          </m:r>
          <m:r>
            <m:t>x</m:t>
          </m:r>
          <m:r>
            <m:rPr>
              <m:sty m:val="p"/>
            </m:rPr>
            <m:t>)</m:t>
          </m:r>
          <m:r>
            <m:rPr>
              <m:sty m:val="p"/>
            </m:rPr>
            <m:t>=</m:t>
          </m:r>
          <m:f>
            <m:fPr>
              <m:type m:val="bar"/>
            </m:fPr>
            <m:num>
              <m:r>
                <m:rPr>
                  <m:sty m:val="p"/>
                </m:rPr>
                <m:t>exp</m:t>
              </m:r>
              <m:r>
                <m:rPr>
                  <m:sty m:val="p"/>
                </m:rPr>
                <m:t>(</m:t>
              </m:r>
              <m:sSub>
                <m:e>
                  <m:r>
                    <m:t>α</m:t>
                  </m:r>
                </m:e>
                <m:sub>
                  <m:r>
                    <m:t>q</m:t>
                  </m:r>
                </m:sub>
              </m:sSub>
              <m:r>
                <m:rPr>
                  <m:sty m:val="p"/>
                </m:rPr>
                <m:t>+</m:t>
              </m:r>
              <m:sSup>
                <m:e>
                  <m:r>
                    <m:t>x</m:t>
                  </m:r>
                </m:e>
                <m:sup>
                  <m:r>
                    <m:rPr>
                      <m:sty m:val="p"/>
                    </m:rPr>
                    <m:t>⊤</m:t>
                  </m:r>
                </m:sup>
              </m:sSup>
              <m:sSub>
                <m:e>
                  <m:r>
                    <m:t>β</m:t>
                  </m:r>
                </m:e>
                <m:sub>
                  <m:r>
                    <m:t>q</m:t>
                  </m:r>
                </m:sub>
              </m:sSub>
              <m:r>
                <m:rPr>
                  <m:sty m:val="p"/>
                </m:rPr>
                <m:t>)</m:t>
              </m:r>
            </m:num>
            <m:den>
              <m:nary>
                <m:naryPr>
                  <m:chr m:val="∑"/>
                  <m:limLoc m:val="undOvr"/>
                  <m:subHide m:val="off"/>
                  <m:supHide m:val="off"/>
                </m:naryPr>
                <m:sub>
                  <m:r>
                    <m:t>ℓ</m:t>
                  </m:r>
                  <m:r>
                    <m:rPr>
                      <m:sty m:val="p"/>
                    </m:rPr>
                    <m:t>=</m:t>
                  </m:r>
                  <m:r>
                    <m:t>0</m:t>
                  </m:r>
                </m:sub>
                <m:sup>
                  <m:r>
                    <m:t>Q</m:t>
                  </m:r>
                </m:sup>
                <m:e>
                  <m:r>
                    <m:rPr>
                      <m:sty m:val="p"/>
                    </m:rPr>
                    <m:t>exp</m:t>
                  </m:r>
                </m:e>
              </m:nary>
              <m:r>
                <m:rPr>
                  <m:sty m:val="p"/>
                </m:rPr>
                <m:t>(</m:t>
              </m:r>
              <m:sSub>
                <m:e>
                  <m:r>
                    <m:t>α</m:t>
                  </m:r>
                </m:e>
                <m:sub>
                  <m:r>
                    <m:t>ℓ</m:t>
                  </m:r>
                </m:sub>
              </m:sSub>
              <m:r>
                <m:rPr>
                  <m:sty m:val="p"/>
                </m:rPr>
                <m:t>+</m:t>
              </m:r>
              <m:sSup>
                <m:e>
                  <m:r>
                    <m:t>x</m:t>
                  </m:r>
                </m:e>
                <m:sup>
                  <m:r>
                    <m:rPr>
                      <m:sty m:val="p"/>
                    </m:rPr>
                    <m:t>⊤</m:t>
                  </m:r>
                </m:sup>
              </m:sSup>
              <m:sSub>
                <m:e>
                  <m:r>
                    <m:t>β</m:t>
                  </m:r>
                </m:e>
                <m:sub>
                  <m:r>
                    <m:t>ℓ</m:t>
                  </m:r>
                </m:sub>
              </m:sSub>
              <m:r>
                <m:rPr>
                  <m:sty m:val="p"/>
                </m:rPr>
                <m:t>)</m:t>
              </m:r>
            </m:den>
          </m:f>
          <m:r>
            <m:rPr>
              <m:sty m:val="p"/>
            </m:rPr>
            <m:t>.</m:t>
          </m:r>
        </m:oMath>
      </m:oMathPara>
    </w:p>
    <w:p>
      <w:pPr>
        <w:pStyle w:val="FirstParagraph"/>
      </w:pPr>
      <w:r>
        <w:t xml:space="preserve">Dadurch können Endpunktwahrscheinlichkeiten nicht unabhängig über 100 Prozent summieren.</w:t>
      </w:r>
    </w:p>
    <w:bookmarkEnd w:id="40"/>
    <w:bookmarkStart w:id="41" w:name="ordinales-schweregradmodell"/>
    <w:p>
      <w:pPr>
        <w:pStyle w:val="Heading2"/>
      </w:pPr>
      <w:r>
        <w:rPr>
          <w:rStyle w:val="SectionNumber"/>
        </w:rPr>
        <w:t xml:space="preserve">5.3</w:t>
      </w:r>
      <w:r>
        <w:tab/>
      </w:r>
      <w:r>
        <w:t xml:space="preserve">4.3 Ordinales Schweregradmodell</w:t>
      </w:r>
    </w:p>
    <w:p>
      <w:pPr>
        <w:pStyle w:val="FirstParagraph"/>
      </w:pPr>
      <w:r>
        <w:t xml:space="preserve">Wenn die Schweregrade eine natürliche Ordnung besitzen, kann ein kumulatives Logitmodell verwendet werden:</w:t>
      </w:r>
    </w:p>
    <w:p>
      <w:pPr>
        <w:pStyle w:val="BodyText"/>
      </w:pPr>
      <m:oMathPara>
        <m:oMathParaPr>
          <m:jc m:val="center"/>
        </m:oMathParaPr>
        <m:oMath>
          <m:r>
            <m:rPr>
              <m:sty m:val="p"/>
            </m:rPr>
            <m:t>logit</m:t>
          </m:r>
          <m:r>
            <m:t> </m:t>
          </m:r>
          <m:r>
            <m:t>P</m:t>
          </m:r>
          <m:r>
            <m:rPr>
              <m:sty m:val="p"/>
            </m:rPr>
            <m:t>(</m:t>
          </m:r>
          <m:r>
            <m:t>Y</m:t>
          </m:r>
          <m:r>
            <m:rPr>
              <m:sty m:val="p"/>
            </m:rPr>
            <m:t>≤</m:t>
          </m:r>
          <m:r>
            <m:t>q</m:t>
          </m:r>
          <m:r>
            <m:rPr>
              <m:sty m:val="p"/>
            </m:rPr>
            <m:t>∣</m:t>
          </m:r>
          <m:r>
            <m:t>x</m:t>
          </m:r>
          <m:r>
            <m:rPr>
              <m:sty m:val="p"/>
            </m:rPr>
            <m:t>)</m:t>
          </m:r>
          <m:r>
            <m:rPr>
              <m:sty m:val="p"/>
            </m:rPr>
            <m:t>=</m:t>
          </m:r>
          <m:sSub>
            <m:e>
              <m:r>
                <m:t>α</m:t>
              </m:r>
            </m:e>
            <m:sub>
              <m:r>
                <m:t>q</m:t>
              </m:r>
            </m:sub>
          </m:sSub>
          <m:r>
            <m:rPr>
              <m:sty m:val="p"/>
            </m:rPr>
            <m:t>−</m:t>
          </m:r>
          <m:sSup>
            <m:e>
              <m:r>
                <m:t>x</m:t>
              </m:r>
            </m:e>
            <m:sup>
              <m:r>
                <m:rPr>
                  <m:sty m:val="p"/>
                </m:rPr>
                <m:t>⊤</m:t>
              </m:r>
            </m:sup>
          </m:sSup>
          <m:r>
            <m:t>β</m:t>
          </m:r>
          <m:r>
            <m:rPr>
              <m:sty m:val="p"/>
            </m:rPr>
            <m:t>.</m:t>
          </m:r>
        </m:oMath>
      </m:oMathPara>
    </w:p>
    <w:p>
      <w:pPr>
        <w:pStyle w:val="FirstParagraph"/>
      </w:pPr>
      <w:r>
        <w:t xml:space="preserve">Die Kategorie-Wahrscheinlichkeiten ergeben sich durch Differenzen kumulativer Wahrscheinlichkeiten:</w:t>
      </w:r>
    </w:p>
    <w:p>
      <w:pPr>
        <w:pStyle w:val="BodyText"/>
      </w:pPr>
      <m:oMathPara>
        <m:oMathParaPr>
          <m:jc m:val="center"/>
        </m:oMathParaPr>
        <m:oMath>
          <m:r>
            <m:t>P</m:t>
          </m:r>
          <m:r>
            <m:rPr>
              <m:sty m:val="p"/>
            </m:rPr>
            <m:t>(</m:t>
          </m:r>
          <m:r>
            <m:t>Y</m:t>
          </m:r>
          <m:r>
            <m:rPr>
              <m:sty m:val="p"/>
            </m:rPr>
            <m:t>=</m:t>
          </m:r>
          <m:r>
            <m:t>q</m:t>
          </m:r>
          <m:r>
            <m:rPr>
              <m:sty m:val="p"/>
            </m:rPr>
            <m:t>)</m:t>
          </m:r>
          <m:r>
            <m:rPr>
              <m:sty m:val="p"/>
            </m:rPr>
            <m:t>=</m:t>
          </m:r>
          <m:r>
            <m:t>P</m:t>
          </m:r>
          <m:r>
            <m:rPr>
              <m:sty m:val="p"/>
            </m:rPr>
            <m:t>(</m:t>
          </m:r>
          <m:r>
            <m:t>Y</m:t>
          </m:r>
          <m:r>
            <m:rPr>
              <m:sty m:val="p"/>
            </m:rPr>
            <m:t>≤</m:t>
          </m:r>
          <m:r>
            <m:t>q</m:t>
          </m:r>
          <m:r>
            <m:rPr>
              <m:sty m:val="p"/>
            </m:rPr>
            <m:t>)</m:t>
          </m:r>
          <m:r>
            <m:rPr>
              <m:sty m:val="p"/>
            </m:rPr>
            <m:t>−</m:t>
          </m:r>
          <m:r>
            <m:t>P</m:t>
          </m:r>
          <m:r>
            <m:rPr>
              <m:sty m:val="p"/>
            </m:rPr>
            <m:t>(</m:t>
          </m:r>
          <m:r>
            <m:t>Y</m:t>
          </m:r>
          <m:r>
            <m:rPr>
              <m:sty m:val="p"/>
            </m:rPr>
            <m:t>≤</m:t>
          </m:r>
          <m:r>
            <m:t>q</m:t>
          </m:r>
          <m:r>
            <m:rPr>
              <m:sty m:val="p"/>
            </m:rPr>
            <m:t>−</m:t>
          </m:r>
          <m:r>
            <m:t>1</m:t>
          </m:r>
          <m:r>
            <m:rPr>
              <m:sty m:val="p"/>
            </m:rPr>
            <m:t>)</m:t>
          </m:r>
          <m:r>
            <m:rPr>
              <m:sty m:val="p"/>
            </m:rPr>
            <m:t>.</m:t>
          </m:r>
        </m:oMath>
      </m:oMathPara>
    </w:p>
    <w:p>
      <w:pPr>
        <w:pStyle w:val="FirstParagraph"/>
      </w:pPr>
      <w:r>
        <w:t xml:space="preserve">Die Proportional-Odds-Annahme, ein gemeinsamer Koeffizientenvektor</w:t>
      </w:r>
      <w:r>
        <w:t xml:space="preserve"> </w:t>
      </w:r>
      <m:oMath>
        <m:r>
          <m:t>β</m:t>
        </m:r>
      </m:oMath>
      <w:r>
        <w:t xml:space="preserve"> </w:t>
      </w:r>
      <w:r>
        <w:t xml:space="preserve">für alle Schwellen, muss geprüft werden. Bei Verletzungsdaten kann ein partielles Proportional-Odds-Modell erforderlich sein.</w:t>
      </w:r>
    </w:p>
    <w:bookmarkEnd w:id="41"/>
    <w:bookmarkStart w:id="42" w:name="barrieren-als-lokale-interventionen"/>
    <w:p>
      <w:pPr>
        <w:pStyle w:val="Heading2"/>
      </w:pPr>
      <w:r>
        <w:rPr>
          <w:rStyle w:val="SectionNumber"/>
        </w:rPr>
        <w:t xml:space="preserve">5.4</w:t>
      </w:r>
      <w:r>
        <w:tab/>
      </w:r>
      <w:r>
        <w:t xml:space="preserve">4.4 Barrieren als lokale Interventionen</w:t>
      </w:r>
    </w:p>
    <w:p>
      <w:pPr>
        <w:pStyle w:val="FirstParagraph"/>
      </w:pPr>
      <w:r>
        <w:t xml:space="preserve">Eine Barriere</w:t>
      </w:r>
      <w:r>
        <w:t xml:space="preserve"> </w:t>
      </w:r>
      <m:oMath>
        <m:r>
          <m:t>j</m:t>
        </m:r>
      </m:oMath>
      <w:r>
        <w:t xml:space="preserve"> </w:t>
      </w:r>
      <w:r>
        <w:t xml:space="preserve">erhält einen endpunkt- und ereignisspezifischen Koeffizienten</w:t>
      </w:r>
      <w:r>
        <w:t xml:space="preserve"> </w:t>
      </w:r>
      <m:oMath>
        <m:sSub>
          <m:e>
            <m:r>
              <m:t>γ</m:t>
            </m:r>
          </m:e>
          <m:sub>
            <m:r>
              <m:t>j</m:t>
            </m:r>
            <m:r>
              <m:t>k</m:t>
            </m:r>
          </m:sub>
        </m:sSub>
      </m:oMath>
      <w:r>
        <w:t xml:space="preserve">. Eine flexible Parametrisierung ist</w:t>
      </w:r>
    </w:p>
    <w:p>
      <w:pPr>
        <w:pStyle w:val="BodyText"/>
      </w:pPr>
      <m:oMathPara>
        <m:oMathParaPr>
          <m:jc m:val="center"/>
        </m:oMathParaPr>
        <m:oMath>
          <m:sSub>
            <m:e>
              <m:r>
                <m:t>B</m:t>
              </m:r>
            </m:e>
            <m:sub>
              <m:r>
                <m:t>k</m:t>
              </m:r>
            </m:sub>
          </m:sSub>
          <m:r>
            <m:rPr>
              <m:sty m:val="p"/>
            </m:rPr>
            <m:t>(</m:t>
          </m:r>
          <m:r>
            <m:t>z</m:t>
          </m:r>
          <m:r>
            <m:rPr>
              <m:sty m:val="p"/>
            </m:rPr>
            <m:t>)</m:t>
          </m:r>
          <m:r>
            <m:rPr>
              <m:sty m:val="p"/>
            </m:rPr>
            <m:t>=</m:t>
          </m:r>
          <m:r>
            <m:rPr>
              <m:sty m:val="p"/>
            </m:rPr>
            <m:t>exp</m:t>
          </m:r>
          <m:d>
            <m:dPr>
              <m:begChr m:val="("/>
              <m:sepChr m:val=""/>
              <m:endChr m:val=")"/>
              <m:grow/>
            </m:dPr>
            <m:e>
              <m:nary>
                <m:naryPr>
                  <m:chr m:val="∑"/>
                  <m:limLoc m:val="undOvr"/>
                  <m:subHide m:val="off"/>
                  <m:supHide m:val="on"/>
                </m:naryPr>
                <m:sub>
                  <m:r>
                    <m:t>j</m:t>
                  </m:r>
                </m:sub>
                <m:sup>
                  <m:r>
                    <m:t>​</m:t>
                  </m:r>
                </m:sup>
                <m:e>
                  <m:sSub>
                    <m:e>
                      <m:r>
                        <m:t>γ</m:t>
                      </m:r>
                    </m:e>
                    <m:sub>
                      <m:r>
                        <m:t>j</m:t>
                      </m:r>
                      <m:r>
                        <m:t>k</m:t>
                      </m:r>
                    </m:sub>
                  </m:sSub>
                </m:e>
              </m:nary>
              <m:sSub>
                <m:e>
                  <m:r>
                    <m:t>z</m:t>
                  </m:r>
                </m:e>
                <m:sub>
                  <m:r>
                    <m:t>j</m:t>
                  </m:r>
                </m:sub>
              </m:sSub>
              <m:r>
                <m:rPr>
                  <m:sty m:val="p"/>
                </m:rPr>
                <m:t>+</m:t>
              </m:r>
              <m:nary>
                <m:naryPr>
                  <m:chr m:val="∑"/>
                  <m:limLoc m:val="undOvr"/>
                  <m:subHide m:val="off"/>
                  <m:supHide m:val="on"/>
                </m:naryPr>
                <m:sub>
                  <m:r>
                    <m:t>j</m:t>
                  </m:r>
                  <m:r>
                    <m:rPr>
                      <m:sty m:val="p"/>
                    </m:rPr>
                    <m:t>&lt;</m:t>
                  </m:r>
                  <m:r>
                    <m:t>ℓ</m:t>
                  </m:r>
                </m:sub>
                <m:sup>
                  <m:r>
                    <m:t>​</m:t>
                  </m:r>
                </m:sup>
                <m:e>
                  <m:sSub>
                    <m:e>
                      <m:r>
                        <m:t>γ</m:t>
                      </m:r>
                    </m:e>
                    <m:sub>
                      <m:r>
                        <m:t>j</m:t>
                      </m:r>
                      <m:r>
                        <m:t>ℓ</m:t>
                      </m:r>
                      <m:r>
                        <m:t>k</m:t>
                      </m:r>
                    </m:sub>
                  </m:sSub>
                </m:e>
              </m:nary>
              <m:sSub>
                <m:e>
                  <m:r>
                    <m:t>z</m:t>
                  </m:r>
                </m:e>
                <m:sub>
                  <m:r>
                    <m:t>j</m:t>
                  </m:r>
                </m:sub>
              </m:sSub>
              <m:sSub>
                <m:e>
                  <m:r>
                    <m:t>z</m:t>
                  </m:r>
                </m:e>
                <m:sub>
                  <m:r>
                    <m:t>ℓ</m:t>
                  </m:r>
                </m:sub>
              </m:sSub>
            </m:e>
          </m:d>
          <m:r>
            <m:rPr>
              <m:sty m:val="p"/>
            </m:rPr>
            <m:t>.</m:t>
          </m:r>
        </m:oMath>
      </m:oMathPara>
    </w:p>
    <w:p>
      <w:pPr>
        <w:pStyle w:val="FirstParagraph"/>
      </w:pPr>
      <w:r>
        <w:t xml:space="preserve">Für eine schützende Barriere gilt</w:t>
      </w:r>
      <w:r>
        <w:t xml:space="preserve"> </w:t>
      </w:r>
      <m:oMath>
        <m:sSub>
          <m:e>
            <m:r>
              <m:t>γ</m:t>
            </m:r>
          </m:e>
          <m:sub>
            <m:r>
              <m:t>j</m:t>
            </m:r>
            <m:r>
              <m:t>k</m:t>
            </m:r>
          </m:sub>
        </m:sSub>
        <m:r>
          <m:rPr>
            <m:sty m:val="p"/>
          </m:rPr>
          <m:t>&lt;</m:t>
        </m:r>
        <m:r>
          <m:t>0</m:t>
        </m:r>
      </m:oMath>
      <w:r>
        <w:t xml:space="preserve">. Das zugehörige relative Risiko beträgt</w:t>
      </w:r>
    </w:p>
    <w:p>
      <w:pPr>
        <w:pStyle w:val="BodyText"/>
      </w:pPr>
      <m:oMathPara>
        <m:oMathParaPr>
          <m:jc m:val="center"/>
        </m:oMathParaPr>
        <m:oMath>
          <m:r>
            <m:t>R</m:t>
          </m:r>
          <m:sSub>
            <m:e>
              <m:r>
                <m:t>R</m:t>
              </m:r>
            </m:e>
            <m:sub>
              <m:r>
                <m:t>j</m:t>
              </m:r>
              <m:r>
                <m:t>k</m:t>
              </m:r>
            </m:sub>
          </m:sSub>
          <m:r>
            <m:rPr>
              <m:sty m:val="p"/>
            </m:rPr>
            <m:t>=</m:t>
          </m:r>
          <m:sSup>
            <m:e>
              <m:r>
                <m:t>e</m:t>
              </m:r>
            </m:e>
            <m:sup>
              <m:sSub>
                <m:e>
                  <m:r>
                    <m:t>γ</m:t>
                  </m:r>
                </m:e>
                <m:sub>
                  <m:r>
                    <m:t>j</m:t>
                  </m:r>
                  <m:r>
                    <m:t>k</m:t>
                  </m:r>
                </m:sub>
              </m:sSub>
            </m:sup>
          </m:sSup>
          <m:r>
            <m:rPr>
              <m:sty m:val="p"/>
            </m:rPr>
            <m:t>.</m:t>
          </m:r>
        </m:oMath>
      </m:oMathPara>
    </w:p>
    <w:p>
      <w:pPr>
        <w:pStyle w:val="FirstParagraph"/>
      </w:pPr>
      <w:r>
        <w:t xml:space="preserve">Eine berichtete Risikoreduktion</w:t>
      </w:r>
      <w:r>
        <w:t xml:space="preserve"> </w:t>
      </w:r>
      <m:oMath>
        <m:r>
          <m:t>R</m:t>
        </m:r>
        <m:r>
          <m:t>E</m:t>
        </m:r>
      </m:oMath>
      <w:r>
        <w:t xml:space="preserve"> </w:t>
      </w:r>
      <w:r>
        <w:t xml:space="preserve">wird in ein relatives Risiko umgerechnet:</w:t>
      </w:r>
    </w:p>
    <w:p>
      <w:pPr>
        <w:pStyle w:val="BodyText"/>
      </w:pPr>
      <m:oMathPara>
        <m:oMathParaPr>
          <m:jc m:val="center"/>
        </m:oMathParaPr>
        <m:oMath>
          <m:r>
            <m:t>R</m:t>
          </m:r>
          <m:r>
            <m:t>R</m:t>
          </m:r>
          <m:r>
            <m:rPr>
              <m:sty m:val="p"/>
            </m:rPr>
            <m:t>=</m:t>
          </m:r>
          <m:r>
            <m:t>1</m:t>
          </m:r>
          <m:r>
            <m:rPr>
              <m:sty m:val="p"/>
            </m:rPr>
            <m:t>−</m:t>
          </m:r>
          <m:r>
            <m:t>R</m:t>
          </m:r>
          <m:r>
            <m:t>E</m:t>
          </m:r>
          <m:r>
            <m:rPr>
              <m:sty m:val="p"/>
            </m:rPr>
            <m:t>.</m:t>
          </m:r>
        </m:oMath>
      </m:oMathPara>
    </w:p>
    <w:p>
      <w:pPr>
        <w:pStyle w:val="FirstParagraph"/>
      </w:pPr>
      <w:r>
        <w:t xml:space="preserve">Bei 45 Prozent Reduktion wäre</w:t>
      </w:r>
      <w:r>
        <w:t xml:space="preserve"> </w:t>
      </w:r>
      <m:oMath>
        <m:r>
          <m:t>R</m:t>
        </m:r>
        <m:r>
          <m:t>R</m:t>
        </m:r>
        <m:r>
          <m:rPr>
            <m:sty m:val="p"/>
          </m:rPr>
          <m:t>=</m:t>
        </m:r>
        <m:r>
          <m:t>0</m:t>
        </m:r>
        <m:r>
          <m:rPr>
            <m:sty m:val="p"/>
          </m:rPr>
          <m:t>,</m:t>
        </m:r>
        <m:r>
          <m:t>55</m:t>
        </m:r>
      </m:oMath>
      <w:r>
        <w:t xml:space="preserve"> </w:t>
      </w:r>
      <w:r>
        <w:t xml:space="preserve">und</w:t>
      </w:r>
      <w:r>
        <w:t xml:space="preserve"> </w:t>
      </w:r>
      <m:oMath>
        <m:r>
          <m:t>γ</m:t>
        </m:r>
        <m:r>
          <m:rPr>
            <m:sty m:val="p"/>
          </m:rPr>
          <m:t>=</m:t>
        </m:r>
        <m:r>
          <m:rPr>
            <m:sty m:val="p"/>
          </m:rPr>
          <m:t>log</m:t>
        </m:r>
        <m:r>
          <m:rPr>
            <m:sty m:val="p"/>
          </m:rPr>
          <m:t>(</m:t>
        </m:r>
        <m:r>
          <m:t>0</m:t>
        </m:r>
        <m:r>
          <m:rPr>
            <m:sty m:val="p"/>
          </m:rPr>
          <m:t>,</m:t>
        </m:r>
        <m:r>
          <m:t>55</m:t>
        </m:r>
        <m:r>
          <m:rPr>
            <m:sty m:val="p"/>
          </m:rPr>
          <m:t>)</m:t>
        </m:r>
      </m:oMath>
      <w:r>
        <w:t xml:space="preserve">. Die Übertragung ist nur zulässig, wenn Population, Endpunkt und Vergleichsgruppe kompatibel sind.</w:t>
      </w:r>
    </w:p>
    <w:bookmarkEnd w:id="42"/>
    <w:bookmarkStart w:id="43" w:name="interaktionen-und-doppelzählung"/>
    <w:p>
      <w:pPr>
        <w:pStyle w:val="Heading2"/>
      </w:pPr>
      <w:r>
        <w:rPr>
          <w:rStyle w:val="SectionNumber"/>
        </w:rPr>
        <w:t xml:space="preserve">5.5</w:t>
      </w:r>
      <w:r>
        <w:tab/>
      </w:r>
      <w:r>
        <w:t xml:space="preserve">4.5 Interaktionen und Doppelzählung</w:t>
      </w:r>
    </w:p>
    <w:p>
      <w:pPr>
        <w:pStyle w:val="FirstParagraph"/>
      </w:pPr>
      <w:r>
        <w:t xml:space="preserve">Sind Gurt, Airbag, Sitzposition und Fahrzeugalter nicht unabhängig, ist</w:t>
      </w:r>
    </w:p>
    <w:p>
      <w:pPr>
        <w:pStyle w:val="BodyText"/>
      </w:pPr>
      <m:oMathPara>
        <m:oMathParaPr>
          <m:jc m:val="center"/>
        </m:oMathParaPr>
        <m:oMath>
          <m:r>
            <m:t>R</m:t>
          </m:r>
          <m:sSub>
            <m:e>
              <m:r>
                <m:t>R</m:t>
              </m:r>
            </m:e>
            <m:sub>
              <m:r>
                <m:rPr>
                  <m:sty m:val="p"/>
                </m:rPr>
                <m:t>g</m:t>
              </m:r>
              <m:r>
                <m:rPr>
                  <m:sty m:val="p"/>
                </m:rPr>
                <m:t>e</m:t>
              </m:r>
              <m:r>
                <m:rPr>
                  <m:sty m:val="p"/>
                </m:rPr>
                <m:t>s</m:t>
              </m:r>
              <m:r>
                <m:rPr>
                  <m:sty m:val="p"/>
                </m:rPr>
                <m:t>a</m:t>
              </m:r>
              <m:r>
                <m:rPr>
                  <m:sty m:val="p"/>
                </m:rPr>
                <m:t>m</m:t>
              </m:r>
              <m:r>
                <m:rPr>
                  <m:sty m:val="p"/>
                </m:rPr>
                <m:t>t</m:t>
              </m:r>
            </m:sub>
          </m:sSub>
          <m:r>
            <m:rPr>
              <m:sty m:val="p"/>
            </m:rPr>
            <m:t>≠</m:t>
          </m:r>
          <m:r>
            <m:t>R</m:t>
          </m:r>
          <m:sSub>
            <m:e>
              <m:r>
                <m:t>R</m:t>
              </m:r>
            </m:e>
            <m:sub>
              <m:r>
                <m:rPr>
                  <m:sty m:val="p"/>
                </m:rPr>
                <m:t>G</m:t>
              </m:r>
              <m:r>
                <m:rPr>
                  <m:sty m:val="p"/>
                </m:rPr>
                <m:t>u</m:t>
              </m:r>
              <m:r>
                <m:rPr>
                  <m:sty m:val="p"/>
                </m:rPr>
                <m:t>r</m:t>
              </m:r>
              <m:r>
                <m:rPr>
                  <m:sty m:val="p"/>
                </m:rPr>
                <m:t>t</m:t>
              </m:r>
            </m:sub>
          </m:sSub>
          <m:r>
            <m:t>R</m:t>
          </m:r>
          <m:sSub>
            <m:e>
              <m:r>
                <m:t>R</m:t>
              </m:r>
            </m:e>
            <m:sub>
              <m:r>
                <m:rPr>
                  <m:sty m:val="p"/>
                </m:rPr>
                <m:t>A</m:t>
              </m:r>
              <m:r>
                <m:rPr>
                  <m:sty m:val="p"/>
                </m:rPr>
                <m:t>i</m:t>
              </m:r>
              <m:r>
                <m:rPr>
                  <m:sty m:val="p"/>
                </m:rPr>
                <m:t>r</m:t>
              </m:r>
              <m:r>
                <m:rPr>
                  <m:sty m:val="p"/>
                </m:rPr>
                <m:t>b</m:t>
              </m:r>
              <m:r>
                <m:rPr>
                  <m:sty m:val="p"/>
                </m:rPr>
                <m:t>a</m:t>
              </m:r>
              <m:r>
                <m:rPr>
                  <m:sty m:val="p"/>
                </m:rPr>
                <m:t>g</m:t>
              </m:r>
            </m:sub>
          </m:sSub>
          <m:r>
            <m:t>R</m:t>
          </m:r>
          <m:sSub>
            <m:e>
              <m:r>
                <m:t>R</m:t>
              </m:r>
            </m:e>
            <m:sub>
              <m:r>
                <m:rPr>
                  <m:sty m:val="p"/>
                </m:rPr>
                <m:t>S</m:t>
              </m:r>
              <m:r>
                <m:rPr>
                  <m:sty m:val="p"/>
                </m:rPr>
                <m:t>i</m:t>
              </m:r>
              <m:r>
                <m:rPr>
                  <m:sty m:val="p"/>
                </m:rPr>
                <m:t>t</m:t>
              </m:r>
              <m:r>
                <m:rPr>
                  <m:sty m:val="p"/>
                </m:rPr>
                <m:t>z</m:t>
              </m:r>
            </m:sub>
          </m:sSub>
          <m:r>
            <m:t>R</m:t>
          </m:r>
          <m:sSub>
            <m:e>
              <m:r>
                <m:t>R</m:t>
              </m:r>
            </m:e>
            <m:sub>
              <m:r>
                <m:rPr>
                  <m:sty m:val="p"/>
                </m:rPr>
                <m:t>A</m:t>
              </m:r>
              <m:r>
                <m:rPr>
                  <m:sty m:val="p"/>
                </m:rPr>
                <m:t>l</m:t>
              </m:r>
              <m:r>
                <m:rPr>
                  <m:sty m:val="p"/>
                </m:rPr>
                <m:t>t</m:t>
              </m:r>
              <m:r>
                <m:rPr>
                  <m:sty m:val="p"/>
                </m:rPr>
                <m:t>e</m:t>
              </m:r>
              <m:r>
                <m:rPr>
                  <m:sty m:val="p"/>
                </m:rPr>
                <m:t>r</m:t>
              </m:r>
            </m:sub>
          </m:sSub>
        </m:oMath>
      </m:oMathPara>
    </w:p>
    <w:p>
      <w:pPr>
        <w:pStyle w:val="FirstParagraph"/>
      </w:pPr>
      <w:r>
        <w:t xml:space="preserve">im Allgemeinen nicht garantiert. Der Interaktionsterm</w:t>
      </w:r>
      <w:r>
        <w:t xml:space="preserve"> </w:t>
      </w:r>
      <m:oMath>
        <m:sSub>
          <m:e>
            <m:r>
              <m:t>γ</m:t>
            </m:r>
          </m:e>
          <m:sub>
            <m:r>
              <m:t>j</m:t>
            </m:r>
            <m:r>
              <m:t>ℓ</m:t>
            </m:r>
            <m:r>
              <m:t>k</m:t>
            </m:r>
          </m:sub>
        </m:sSub>
      </m:oMath>
      <w:r>
        <w:t xml:space="preserve"> </w:t>
      </w:r>
      <w:r>
        <w:t xml:space="preserve">in Gleichung (24) erlaubt Abweichungen von der Multiplikativität. Liegen keine Interaktionsdaten vor, muss diese Wissenslücke als epistemische Unsicherheit behandelt werden.</w:t>
      </w:r>
    </w:p>
    <w:bookmarkEnd w:id="43"/>
    <w:bookmarkEnd w:id="44"/>
    <w:bookmarkStart w:id="48" w:name="X259998c3d8c12d7646a95e87d20c8f7064353ec"/>
    <w:p>
      <w:pPr>
        <w:pStyle w:val="Heading1"/>
      </w:pPr>
      <w:r>
        <w:rPr>
          <w:rStyle w:val="SectionNumber"/>
        </w:rPr>
        <w:t xml:space="preserve">6</w:t>
      </w:r>
      <w:r>
        <w:tab/>
      </w:r>
      <w:r>
        <w:t xml:space="preserve">5. Evidence Gate, Parametervertrag und Datenqualität</w:t>
      </w:r>
    </w:p>
    <w:bookmarkStart w:id="45" w:name="evidence-gate"/>
    <w:p>
      <w:pPr>
        <w:pStyle w:val="Heading2"/>
      </w:pPr>
      <w:r>
        <w:rPr>
          <w:rStyle w:val="SectionNumber"/>
        </w:rPr>
        <w:t xml:space="preserve">6.1</w:t>
      </w:r>
      <w:r>
        <w:tab/>
      </w:r>
      <w:r>
        <w:t xml:space="preserve">5.1 Evidence Gate</w:t>
      </w:r>
    </w:p>
    <w:p>
      <w:pPr>
        <w:pStyle w:val="FirstParagraph"/>
      </w:pPr>
      <w:r>
        <w:t xml:space="preserve">Jeder numerische Parameter muss folgende Bedingungen erfüllen:</w:t>
      </w:r>
    </w:p>
    <w:p>
      <w:pPr>
        <w:pStyle w:val="Compact"/>
        <w:numPr>
          <w:ilvl w:val="0"/>
          <w:numId w:val="1004"/>
        </w:numPr>
      </w:pPr>
      <w:r>
        <w:t xml:space="preserve">Quelle und Datenversion sind auffindbar.</w:t>
      </w:r>
    </w:p>
    <w:p>
      <w:pPr>
        <w:pStyle w:val="Compact"/>
        <w:numPr>
          <w:ilvl w:val="0"/>
          <w:numId w:val="1004"/>
        </w:numPr>
      </w:pPr>
      <w:r>
        <w:t xml:space="preserve">Population und Einschlusskriterien sind definiert.</w:t>
      </w:r>
    </w:p>
    <w:p>
      <w:pPr>
        <w:pStyle w:val="Compact"/>
        <w:numPr>
          <w:ilvl w:val="0"/>
          <w:numId w:val="1004"/>
        </w:numPr>
      </w:pPr>
      <w:r>
        <w:t xml:space="preserve">Exposition und Einheit sind definiert.</w:t>
      </w:r>
    </w:p>
    <w:p>
      <w:pPr>
        <w:pStyle w:val="Compact"/>
        <w:numPr>
          <w:ilvl w:val="0"/>
          <w:numId w:val="1004"/>
        </w:numPr>
      </w:pPr>
      <w:r>
        <w:t xml:space="preserve">Ereignis und Endpunkt sind eindeutig definiert.</w:t>
      </w:r>
    </w:p>
    <w:p>
      <w:pPr>
        <w:pStyle w:val="Compact"/>
        <w:numPr>
          <w:ilvl w:val="0"/>
          <w:numId w:val="1004"/>
        </w:numPr>
      </w:pPr>
      <w:r>
        <w:t xml:space="preserve">Eine numerische Rate oder Effektgröße ist vorhanden.</w:t>
      </w:r>
    </w:p>
    <w:p>
      <w:pPr>
        <w:pStyle w:val="Compact"/>
        <w:numPr>
          <w:ilvl w:val="0"/>
          <w:numId w:val="1004"/>
        </w:numPr>
      </w:pPr>
      <w:r>
        <w:t xml:space="preserve">Die Übertragbarkeit auf Zielpopulation und Zielregion ist begründet.</w:t>
      </w:r>
    </w:p>
    <w:p>
      <w:pPr>
        <w:pStyle w:val="Compact"/>
        <w:numPr>
          <w:ilvl w:val="0"/>
          <w:numId w:val="1004"/>
        </w:numPr>
      </w:pPr>
      <w:r>
        <w:t xml:space="preserve">Unsicherheit ist verfügbar oder transparent schätzbar.</w:t>
      </w:r>
    </w:p>
    <w:p>
      <w:pPr>
        <w:pStyle w:val="Compact"/>
        <w:numPr>
          <w:ilvl w:val="0"/>
          <w:numId w:val="1004"/>
        </w:numPr>
      </w:pPr>
      <w:r>
        <w:t xml:space="preserve">Abhängigkeiten und Überlappungen wurden geprüft.</w:t>
      </w:r>
    </w:p>
    <w:p>
      <w:pPr>
        <w:pStyle w:val="Compact"/>
        <w:numPr>
          <w:ilvl w:val="0"/>
          <w:numId w:val="1004"/>
        </w:numPr>
      </w:pPr>
      <w:r>
        <w:t xml:space="preserve">Lizenz, Datenschutz und zulässige Nutzung sind geklärt.</w:t>
      </w:r>
    </w:p>
    <w:p>
      <w:pPr>
        <w:pStyle w:val="FirstParagraph"/>
      </w:pPr>
      <w:r>
        <w:t xml:space="preserve">Scheitert ein kritischer Punkt, lautet der Status</w:t>
      </w:r>
      <w:r>
        <w:t xml:space="preserve"> </w:t>
      </w:r>
      <w:r>
        <w:rPr>
          <w:i/>
          <w:iCs/>
        </w:rPr>
        <w:t xml:space="preserve">insufficient evidence</w:t>
      </w:r>
      <w:r>
        <w:t xml:space="preserve">. Eine plausible, aber unbelegte Zahl wird nicht als Proxy in die produktive Berechnung aufgenommen.</w:t>
      </w:r>
    </w:p>
    <w:bookmarkEnd w:id="45"/>
    <w:bookmarkStart w:id="46" w:name="parametervertrag"/>
    <w:p>
      <w:pPr>
        <w:pStyle w:val="Heading2"/>
      </w:pPr>
      <w:r>
        <w:rPr>
          <w:rStyle w:val="SectionNumber"/>
        </w:rPr>
        <w:t xml:space="preserve">6.2</w:t>
      </w:r>
      <w:r>
        <w:tab/>
      </w:r>
      <w:r>
        <w:t xml:space="preserve">5.2 Parametervertrag</w:t>
      </w:r>
    </w:p>
    <w:p>
      <w:pPr>
        <w:pStyle w:val="FirstParagraph"/>
      </w:pPr>
      <w:r>
        <w:t xml:space="preserve">Jeder Parameter wird als versioniertes Datenobjekt gespeichert: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Feld</w:t>
            </w:r>
          </w:p>
        </w:tc>
        <w:tc>
          <w:tcPr/>
          <w:p>
            <w:pPr>
              <w:pStyle w:val="Compact"/>
            </w:pPr>
            <w:r>
              <w:t xml:space="preserve">Inhalt</w:t>
            </w:r>
          </w:p>
        </w:tc>
      </w:tr>
      <w:tr>
        <w:tc>
          <w:tcPr/>
          <w:p>
            <w:pPr>
              <w:pStyle w:val="Compact"/>
            </w:pPr>
            <w:r>
              <w:t xml:space="preserve">parameter_id</w:t>
            </w:r>
          </w:p>
        </w:tc>
        <w:tc>
          <w:tcPr/>
          <w:p>
            <w:pPr>
              <w:pStyle w:val="Compact"/>
            </w:pPr>
            <w:r>
              <w:t xml:space="preserve">stabile Kennung</w:t>
            </w:r>
          </w:p>
        </w:tc>
      </w:tr>
      <w:tr>
        <w:tc>
          <w:tcPr/>
          <w:p>
            <w:pPr>
              <w:pStyle w:val="Compact"/>
            </w:pPr>
            <w:r>
              <w:t xml:space="preserve">domain_id</w:t>
            </w:r>
          </w:p>
        </w:tc>
        <w:tc>
          <w:tcPr/>
          <w:p>
            <w:pPr>
              <w:pStyle w:val="Compact"/>
            </w:pPr>
            <w:r>
              <w:t xml:space="preserve">Domäne und Adapterversion</w:t>
            </w:r>
          </w:p>
        </w:tc>
      </w:tr>
      <w:tr>
        <w:tc>
          <w:tcPr/>
          <w:p>
            <w:pPr>
              <w:pStyle w:val="Compact"/>
            </w:pPr>
            <w:r>
              <w:t xml:space="preserve">event_channel</w:t>
            </w:r>
          </w:p>
        </w:tc>
        <w:tc>
          <w:tcPr/>
          <w:p>
            <w:pPr>
              <w:pStyle w:val="Compact"/>
            </w:pPr>
            <w:r>
              <w:t xml:space="preserve">Ereignis- oder Unfalltyp</w:t>
            </w:r>
          </w:p>
        </w:tc>
      </w:tr>
      <w:tr>
        <w:tc>
          <w:tcPr/>
          <w:p>
            <w:pPr>
              <w:pStyle w:val="Compact"/>
            </w:pPr>
            <w:r>
              <w:t xml:space="preserve">endpoint</w:t>
            </w:r>
          </w:p>
        </w:tc>
        <w:tc>
          <w:tcPr/>
          <w:p>
            <w:pPr>
              <w:pStyle w:val="Compact"/>
            </w:pPr>
            <w:r>
              <w:t xml:space="preserve">definierter Endpunkt</w:t>
            </w:r>
          </w:p>
        </w:tc>
      </w:tr>
      <w:tr>
        <w:tc>
          <w:tcPr/>
          <w:p>
            <w:pPr>
              <w:pStyle w:val="Compact"/>
            </w:pPr>
            <w:r>
              <w:t xml:space="preserve">value_or_distribution</w:t>
            </w:r>
          </w:p>
        </w:tc>
        <w:tc>
          <w:tcPr/>
          <w:p>
            <w:pPr>
              <w:pStyle w:val="Compact"/>
            </w:pPr>
            <w:r>
              <w:t xml:space="preserve">Punktwert oder Verteilung</w:t>
            </w:r>
          </w:p>
        </w:tc>
      </w:tr>
      <w:tr>
        <w:tc>
          <w:tcPr/>
          <w:p>
            <w:pPr>
              <w:pStyle w:val="Compact"/>
            </w:pPr>
            <w:r>
              <w:t xml:space="preserve">exposure_unit</w:t>
            </w:r>
          </w:p>
        </w:tc>
        <w:tc>
          <w:tcPr/>
          <w:p>
            <w:pPr>
              <w:pStyle w:val="Compact"/>
            </w:pPr>
            <w:r>
              <w:t xml:space="preserve">Nenner und Zeiteinheit</w:t>
            </w:r>
          </w:p>
        </w:tc>
      </w:tr>
      <w:tr>
        <w:tc>
          <w:tcPr/>
          <w:p>
            <w:pPr>
              <w:pStyle w:val="Compact"/>
            </w:pPr>
            <w:r>
              <w:t xml:space="preserve">population</w:t>
            </w:r>
          </w:p>
        </w:tc>
        <w:tc>
          <w:tcPr/>
          <w:p>
            <w:pPr>
              <w:pStyle w:val="Compact"/>
            </w:pPr>
            <w:r>
              <w:t xml:space="preserve">Region, Rolle, Alter, Einschlusskriterien</w:t>
            </w:r>
          </w:p>
        </w:tc>
      </w:tr>
      <w:tr>
        <w:tc>
          <w:tcPr/>
          <w:p>
            <w:pPr>
              <w:pStyle w:val="Compact"/>
            </w:pPr>
            <w:r>
              <w:t xml:space="preserve">source</w:t>
            </w:r>
          </w:p>
        </w:tc>
        <w:tc>
          <w:tcPr/>
          <w:p>
            <w:pPr>
              <w:pStyle w:val="Compact"/>
            </w:pPr>
            <w:r>
              <w:t xml:space="preserve">Publikation, Datensatz, Version, URL</w:t>
            </w:r>
          </w:p>
        </w:tc>
      </w:tr>
      <w:tr>
        <w:tc>
          <w:tcPr/>
          <w:p>
            <w:pPr>
              <w:pStyle w:val="Compact"/>
            </w:pPr>
            <w:r>
              <w:t xml:space="preserve">uncertainty</w:t>
            </w:r>
          </w:p>
        </w:tc>
        <w:tc>
          <w:tcPr/>
          <w:p>
            <w:pPr>
              <w:pStyle w:val="Compact"/>
            </w:pPr>
            <w:r>
              <w:t xml:space="preserve">Standardfehler, Intervall, Posterior oder Szenario</w:t>
            </w:r>
          </w:p>
        </w:tc>
      </w:tr>
      <w:tr>
        <w:tc>
          <w:tcPr/>
          <w:p>
            <w:pPr>
              <w:pStyle w:val="Compact"/>
            </w:pPr>
            <w:r>
              <w:t xml:space="preserve">dependencies</w:t>
            </w:r>
          </w:p>
        </w:tc>
        <w:tc>
          <w:tcPr/>
          <w:p>
            <w:pPr>
              <w:pStyle w:val="Compact"/>
            </w:pPr>
            <w:r>
              <w:t xml:space="preserve">Korrelationen und Interaktionen</w:t>
            </w:r>
          </w:p>
        </w:tc>
      </w:tr>
      <w:tr>
        <w:tc>
          <w:tcPr/>
          <w:p>
            <w:pPr>
              <w:pStyle w:val="Compact"/>
            </w:pPr>
            <w:r>
              <w:t xml:space="preserve">validity</w:t>
            </w:r>
          </w:p>
        </w:tc>
        <w:tc>
          <w:tcPr/>
          <w:p>
            <w:pPr>
              <w:pStyle w:val="Compact"/>
            </w:pPr>
            <w:r>
              <w:t xml:space="preserve">Gültigkeits- und Extrapolationsbereich</w:t>
            </w:r>
          </w:p>
        </w:tc>
      </w:tr>
      <w:tr>
        <w:tc>
          <w:tcPr/>
          <w:p>
            <w:pPr>
              <w:pStyle w:val="Compact"/>
            </w:pPr>
            <w:r>
              <w:t xml:space="preserve">validation</w:t>
            </w:r>
          </w:p>
        </w:tc>
        <w:tc>
          <w:tcPr/>
          <w:p>
            <w:pPr>
              <w:pStyle w:val="Compact"/>
            </w:pPr>
            <w:r>
              <w:t xml:space="preserve">Kalibrierung, Testdaten und Monitoring</w:t>
            </w:r>
          </w:p>
        </w:tc>
      </w:tr>
    </w:tbl>
    <w:bookmarkEnd w:id="46"/>
    <w:bookmarkStart w:id="47" w:name="evidenzstufen"/>
    <w:p>
      <w:pPr>
        <w:pStyle w:val="Heading2"/>
      </w:pPr>
      <w:r>
        <w:rPr>
          <w:rStyle w:val="SectionNumber"/>
        </w:rPr>
        <w:t xml:space="preserve">6.3</w:t>
      </w:r>
      <w:r>
        <w:tab/>
      </w:r>
      <w:r>
        <w:t xml:space="preserve">5.3 Evidenzstufen</w:t>
      </w:r>
    </w:p>
    <w:p>
      <w:pPr>
        <w:pStyle w:val="Compact"/>
        <w:numPr>
          <w:ilvl w:val="0"/>
          <w:numId w:val="1005"/>
        </w:numPr>
      </w:pPr>
      <w:r>
        <w:rPr>
          <w:b/>
          <w:bCs/>
        </w:rPr>
        <w:t xml:space="preserve">Tier A:</w:t>
      </w:r>
      <w:r>
        <w:t xml:space="preserve"> </w:t>
      </w:r>
      <w:r>
        <w:t xml:space="preserve">direkte, hochwertige Zähler-Nenner-Daten mit passender Population und Endpunktdefinition;</w:t>
      </w:r>
    </w:p>
    <w:p>
      <w:pPr>
        <w:pStyle w:val="Compact"/>
        <w:numPr>
          <w:ilvl w:val="0"/>
          <w:numId w:val="1005"/>
        </w:numPr>
      </w:pPr>
      <w:r>
        <w:rPr>
          <w:b/>
          <w:bCs/>
        </w:rPr>
        <w:t xml:space="preserve">Tier B:</w:t>
      </w:r>
      <w:r>
        <w:t xml:space="preserve"> </w:t>
      </w:r>
      <w:r>
        <w:t xml:space="preserve">wissenschaftliche Evidenz mit begrenzter Übertragung oder notwendiger lokaler Kalibrierung;</w:t>
      </w:r>
    </w:p>
    <w:p>
      <w:pPr>
        <w:pStyle w:val="Compact"/>
        <w:numPr>
          <w:ilvl w:val="0"/>
          <w:numId w:val="1005"/>
        </w:numPr>
      </w:pPr>
      <w:r>
        <w:rPr>
          <w:b/>
          <w:bCs/>
        </w:rPr>
        <w:t xml:space="preserve">Tier C:</w:t>
      </w:r>
      <w:r>
        <w:t xml:space="preserve"> </w:t>
      </w:r>
      <w:r>
        <w:t xml:space="preserve">teilweise kompatible, historische oder kontextfremde Evidenz;</w:t>
      </w:r>
    </w:p>
    <w:p>
      <w:pPr>
        <w:pStyle w:val="Compact"/>
        <w:numPr>
          <w:ilvl w:val="0"/>
          <w:numId w:val="1005"/>
        </w:numPr>
      </w:pPr>
      <w:r>
        <w:rPr>
          <w:b/>
          <w:bCs/>
        </w:rPr>
        <w:t xml:space="preserve">Tier D / Forschungsproxy:</w:t>
      </w:r>
      <w:r>
        <w:t xml:space="preserve"> </w:t>
      </w:r>
      <w:r>
        <w:t xml:space="preserve">nicht ausreichend kalibrierte Annahme, nicht als belastbare Risikoschätzung auszugeben;</w:t>
      </w:r>
    </w:p>
    <w:p>
      <w:pPr>
        <w:pStyle w:val="Compact"/>
        <w:numPr>
          <w:ilvl w:val="0"/>
          <w:numId w:val="1005"/>
        </w:numPr>
      </w:pPr>
      <w:r>
        <w:rPr>
          <w:b/>
          <w:bCs/>
        </w:rPr>
        <w:t xml:space="preserve">Insufficient evidence:</w:t>
      </w:r>
      <w:r>
        <w:t xml:space="preserve"> </w:t>
      </w:r>
      <w:r>
        <w:t xml:space="preserve">keine numerische Verwendung.</w:t>
      </w:r>
    </w:p>
    <w:p>
      <w:pPr>
        <w:pStyle w:val="FirstParagraph"/>
      </w:pPr>
      <w:r>
        <w:t xml:space="preserve">Der Ergebnisstatus folgt nicht blind dem Minimum aller Parameter. Stattdessen werden Einflussgewicht, Sensitivität und Unsicherheitsbeitrag berücksichtigt. Ein kaum wirksamer Tier-C-Parameter sollte nicht automatisch einen dominanten Tier-A-Kanal vollständig entwerten. Dafür wird ein gewichteter Unsicherheits- und Evidenzbericht benötigt.</w:t>
      </w:r>
    </w:p>
    <w:bookmarkEnd w:id="47"/>
    <w:bookmarkEnd w:id="48"/>
    <w:bookmarkStart w:id="53" w:name="X394ec0fa712a6cad6b016239be2027a387d9a8d"/>
    <w:p>
      <w:pPr>
        <w:pStyle w:val="Heading1"/>
      </w:pPr>
      <w:r>
        <w:rPr>
          <w:rStyle w:val="SectionNumber"/>
        </w:rPr>
        <w:t xml:space="preserve">7</w:t>
      </w:r>
      <w:r>
        <w:tab/>
      </w:r>
      <w:r>
        <w:t xml:space="preserve">6. Exposure-Normalisierung und Einheitenrechnung</w:t>
      </w:r>
    </w:p>
    <w:bookmarkStart w:id="49" w:name="grundgleichung"/>
    <w:p>
      <w:pPr>
        <w:pStyle w:val="Heading2"/>
      </w:pPr>
      <w:r>
        <w:rPr>
          <w:rStyle w:val="SectionNumber"/>
        </w:rPr>
        <w:t xml:space="preserve">7.1</w:t>
      </w:r>
      <w:r>
        <w:tab/>
      </w:r>
      <w:r>
        <w:t xml:space="preserve">6.1 Grundgleichung</w:t>
      </w:r>
    </w:p>
    <w:p>
      <w:pPr>
        <w:pStyle w:val="FirstParagraph"/>
      </w:pPr>
      <w:r>
        <w:t xml:space="preserve">Für Ereignisse</w:t>
      </w:r>
      <w:r>
        <w:t xml:space="preserve"> </w:t>
      </w:r>
      <m:oMath>
        <m:r>
          <m:t>N</m:t>
        </m:r>
      </m:oMath>
      <w:r>
        <w:t xml:space="preserve"> </w:t>
      </w:r>
      <w:r>
        <w:t xml:space="preserve">und beobachtete Exposition</w:t>
      </w:r>
      <w:r>
        <w:t xml:space="preserve"> </w:t>
      </w:r>
      <m:oMath>
        <m:r>
          <m:t>E</m:t>
        </m:r>
      </m:oMath>
      <w:r>
        <w:t xml:space="preserve"> </w:t>
      </w:r>
      <w:r>
        <w:t xml:space="preserve">ist der Maximum-Likelihood-Schätzer einer konstanten Poisson-Rate</w:t>
      </w:r>
    </w:p>
    <w:p>
      <w:pPr>
        <w:pStyle w:val="BodyText"/>
      </w:pPr>
      <m:oMathPara>
        <m:oMathParaPr>
          <m:jc m:val="center"/>
        </m:oMathParaPr>
        <m:oMath>
          <m:acc>
            <m:accPr>
              <m:chr m:val="̂"/>
            </m:accPr>
            <m:e>
              <m:r>
                <m:t>r</m:t>
              </m:r>
            </m:e>
          </m:acc>
          <m:r>
            <m:rPr>
              <m:sty m:val="p"/>
            </m:rPr>
            <m:t>=</m:t>
          </m:r>
          <m:f>
            <m:fPr>
              <m:type m:val="bar"/>
            </m:fPr>
            <m:num>
              <m:r>
                <m:t>N</m:t>
              </m:r>
            </m:num>
            <m:den>
              <m:r>
                <m:t>E</m:t>
              </m:r>
            </m:den>
          </m:f>
          <m:r>
            <m:rPr>
              <m:sty m:val="p"/>
            </m:rPr>
            <m:t>.</m:t>
          </m:r>
        </m:oMath>
      </m:oMathPara>
    </w:p>
    <w:p>
      <w:pPr>
        <w:pStyle w:val="FirstParagraph"/>
      </w:pPr>
      <w:r>
        <w:t xml:space="preserve">Der individuelle Hazard bei Exposition</w:t>
      </w:r>
      <w:r>
        <w:t xml:space="preserve"> </w:t>
      </w:r>
      <m:oMath>
        <m:r>
          <m:t>e</m:t>
        </m:r>
      </m:oMath>
      <w:r>
        <w:t xml:space="preserve"> </w:t>
      </w:r>
      <w:r>
        <w:t xml:space="preserve">lautet</w:t>
      </w:r>
    </w:p>
    <w:p>
      <w:pPr>
        <w:pStyle w:val="BodyText"/>
      </w:pPr>
      <m:oMathPara>
        <m:oMathParaPr>
          <m:jc m:val="center"/>
        </m:oMathParaPr>
        <m:oMath>
          <m:acc>
            <m:accPr>
              <m:chr m:val="̂"/>
            </m:accPr>
            <m:e>
              <m:r>
                <m:t>H</m:t>
              </m:r>
            </m:e>
          </m:acc>
          <m:r>
            <m:rPr>
              <m:sty m:val="p"/>
            </m:rPr>
            <m:t>=</m:t>
          </m:r>
          <m:r>
            <m:t>e</m:t>
          </m:r>
          <m:acc>
            <m:accPr>
              <m:chr m:val="̂"/>
            </m:accPr>
            <m:e>
              <m:r>
                <m:t>r</m:t>
              </m:r>
            </m:e>
          </m:acc>
          <m:r>
            <m:rPr>
              <m:sty m:val="p"/>
            </m:rPr>
            <m:t>=</m:t>
          </m:r>
          <m:r>
            <m:t>e</m:t>
          </m:r>
          <m:f>
            <m:fPr>
              <m:type m:val="bar"/>
            </m:fPr>
            <m:num>
              <m:r>
                <m:t>N</m:t>
              </m:r>
            </m:num>
            <m:den>
              <m:r>
                <m:t>E</m:t>
              </m:r>
            </m:den>
          </m:f>
          <m:r>
            <m:rPr>
              <m:sty m:val="p"/>
            </m:rPr>
            <m:t>.</m:t>
          </m:r>
        </m:oMath>
      </m:oMathPara>
    </w:p>
    <w:bookmarkEnd w:id="49"/>
    <w:bookmarkStart w:id="50" w:name="unsicherheit-einer-poisson-rate"/>
    <w:p>
      <w:pPr>
        <w:pStyle w:val="Heading2"/>
      </w:pPr>
      <w:r>
        <w:rPr>
          <w:rStyle w:val="SectionNumber"/>
        </w:rPr>
        <w:t xml:space="preserve">7.2</w:t>
      </w:r>
      <w:r>
        <w:tab/>
      </w:r>
      <w:r>
        <w:t xml:space="preserve">6.2 Unsicherheit einer Poisson-Rate</w:t>
      </w:r>
    </w:p>
    <w:p>
      <w:pPr>
        <w:pStyle w:val="FirstParagraph"/>
      </w:pPr>
      <w:r>
        <w:t xml:space="preserve">Unter</w:t>
      </w:r>
      <w:r>
        <w:t xml:space="preserve"> </w:t>
      </w:r>
      <m:oMath>
        <m:r>
          <m:t>N</m:t>
        </m:r>
        <m:r>
          <m:rPr>
            <m:sty m:val="p"/>
          </m:rPr>
          <m:t>∼</m:t>
        </m:r>
        <m:r>
          <m:rPr>
            <m:sty m:val="p"/>
          </m:rPr>
          <m:t>Poisson</m:t>
        </m:r>
        <m:r>
          <m:rPr>
            <m:sty m:val="p"/>
          </m:rPr>
          <m:t>(</m:t>
        </m:r>
        <m:r>
          <m:t>E</m:t>
        </m:r>
        <m:r>
          <m:t>r</m:t>
        </m:r>
        <m:r>
          <m:rPr>
            <m:sty m:val="p"/>
          </m:rPr>
          <m:t>)</m:t>
        </m:r>
      </m:oMath>
      <w:r>
        <w:t xml:space="preserve"> </w:t>
      </w:r>
      <w:r>
        <w:t xml:space="preserve">gilt</w:t>
      </w:r>
    </w:p>
    <w:p>
      <w:pPr>
        <w:pStyle w:val="BodyText"/>
      </w:pPr>
      <m:oMathPara>
        <m:oMathParaPr>
          <m:jc m:val="center"/>
        </m:oMathParaPr>
        <m:oMath>
          <m:r>
            <m:rPr>
              <m:sty m:val="p"/>
            </m:rPr>
            <m:t>Var</m:t>
          </m:r>
          <m:r>
            <m:rPr>
              <m:sty m:val="p"/>
            </m:rPr>
            <m:t>(</m:t>
          </m:r>
          <m:acc>
            <m:accPr>
              <m:chr m:val="̂"/>
            </m:accPr>
            <m:e>
              <m:r>
                <m:t>r</m:t>
              </m:r>
            </m:e>
          </m:acc>
          <m:r>
            <m:rPr>
              <m:sty m:val="p"/>
            </m:rPr>
            <m:t>)</m:t>
          </m:r>
          <m:r>
            <m:rPr>
              <m:sty m:val="p"/>
            </m:rPr>
            <m:t>=</m:t>
          </m:r>
          <m:f>
            <m:fPr>
              <m:type m:val="bar"/>
            </m:fPr>
            <m:num>
              <m:r>
                <m:t>r</m:t>
              </m:r>
            </m:num>
            <m:den>
              <m:r>
                <m:t>E</m:t>
              </m:r>
            </m:den>
          </m:f>
          <m:r>
            <m:rPr>
              <m:sty m:val="p"/>
            </m:rPr>
            <m:t>.</m:t>
          </m:r>
        </m:oMath>
      </m:oMathPara>
    </w:p>
    <w:p>
      <w:pPr>
        <w:pStyle w:val="FirstParagraph"/>
      </w:pPr>
      <w:r>
        <w:t xml:space="preserve">Mit Gamma-Prior</w:t>
      </w:r>
      <w:r>
        <w:t xml:space="preserve"> </w:t>
      </w:r>
      <m:oMath>
        <m:r>
          <m:t>r</m:t>
        </m:r>
        <m:r>
          <m:rPr>
            <m:sty m:val="p"/>
          </m:rPr>
          <m:t>∼</m:t>
        </m:r>
        <m:r>
          <m:rPr>
            <m:sty m:val="p"/>
          </m:rPr>
          <m:t>Gamma</m:t>
        </m:r>
        <m:r>
          <m:rPr>
            <m:sty m:val="p"/>
          </m:rPr>
          <m:t>(</m:t>
        </m:r>
        <m:sSub>
          <m:e>
            <m:r>
              <m:t>α</m:t>
            </m:r>
          </m:e>
          <m:sub>
            <m:r>
              <m:t>0</m:t>
            </m:r>
          </m:sub>
        </m:sSub>
        <m:r>
          <m:rPr>
            <m:sty m:val="p"/>
          </m:rPr>
          <m:t>,</m:t>
        </m:r>
        <m:sSub>
          <m:e>
            <m:r>
              <m:t>β</m:t>
            </m:r>
          </m:e>
          <m:sub>
            <m:r>
              <m:t>0</m:t>
            </m:r>
          </m:sub>
        </m:sSub>
        <m:r>
          <m:rPr>
            <m:sty m:val="p"/>
          </m:rPr>
          <m:t>)</m:t>
        </m:r>
      </m:oMath>
      <w:r>
        <w:t xml:space="preserve"> </w:t>
      </w:r>
      <w:r>
        <w:t xml:space="preserve">und Rate-Parametrisierung folgt der Posterior</w:t>
      </w:r>
    </w:p>
    <w:p>
      <w:pPr>
        <w:pStyle w:val="BodyText"/>
      </w:pPr>
      <m:oMathPara>
        <m:oMathParaPr>
          <m:jc m:val="center"/>
        </m:oMathParaPr>
        <m:oMath>
          <m:r>
            <m:t>r</m:t>
          </m:r>
          <m:r>
            <m:rPr>
              <m:sty m:val="p"/>
            </m:rPr>
            <m:t>∣</m:t>
          </m:r>
          <m:r>
            <m:t>N</m:t>
          </m:r>
          <m:r>
            <m:rPr>
              <m:sty m:val="p"/>
            </m:rPr>
            <m:t>,</m:t>
          </m:r>
          <m:r>
            <m:t>E</m:t>
          </m:r>
          <m:r>
            <m:rPr>
              <m:sty m:val="p"/>
            </m:rPr>
            <m:t>∼</m:t>
          </m:r>
          <m:r>
            <m:rPr>
              <m:sty m:val="p"/>
            </m:rPr>
            <m:t>Gamma</m:t>
          </m:r>
          <m:r>
            <m:rPr>
              <m:sty m:val="p"/>
            </m:rPr>
            <m:t>(</m:t>
          </m:r>
          <m:sSub>
            <m:e>
              <m:r>
                <m:t>α</m:t>
              </m:r>
            </m:e>
            <m:sub>
              <m:r>
                <m:t>0</m:t>
              </m:r>
            </m:sub>
          </m:sSub>
          <m:r>
            <m:rPr>
              <m:sty m:val="p"/>
            </m:rPr>
            <m:t>+</m:t>
          </m:r>
          <m:r>
            <m:t>N</m:t>
          </m:r>
          <m:r>
            <m:rPr>
              <m:sty m:val="p"/>
            </m:rPr>
            <m:t>,</m:t>
          </m:r>
          <m:sSub>
            <m:e>
              <m:r>
                <m:t>β</m:t>
              </m:r>
            </m:e>
            <m:sub>
              <m:r>
                <m:t>0</m:t>
              </m:r>
            </m:sub>
          </m:sSub>
          <m:r>
            <m:rPr>
              <m:sty m:val="p"/>
            </m:rPr>
            <m:t>+</m:t>
          </m:r>
          <m:r>
            <m:t>E</m:t>
          </m:r>
          <m:r>
            <m:rPr>
              <m:sty m:val="p"/>
            </m:rPr>
            <m:t>)</m:t>
          </m:r>
          <m:r>
            <m:rPr>
              <m:sty m:val="p"/>
            </m:rPr>
            <m:t>.</m:t>
          </m:r>
        </m:oMath>
      </m:oMathPara>
    </w:p>
    <w:p>
      <w:pPr>
        <w:pStyle w:val="FirstParagraph"/>
      </w:pPr>
      <w:r>
        <w:t xml:space="preserve">Der Posterior-Mittelwert ist</w:t>
      </w:r>
    </w:p>
    <w:p>
      <w:pPr>
        <w:pStyle w:val="BodyText"/>
      </w:pPr>
      <m:oMathPara>
        <m:oMathParaPr>
          <m:jc m:val="center"/>
        </m:oMathParaPr>
        <m:oMath>
          <m:r>
            <m:rPr>
              <m:scr m:val="double-struck"/>
              <m:sty m:val="p"/>
            </m:rPr>
            <m:t>E</m:t>
          </m:r>
          <m:r>
            <m:rPr>
              <m:sty m:val="p"/>
            </m:rPr>
            <m:t>[</m:t>
          </m:r>
          <m:r>
            <m:t>r</m:t>
          </m:r>
          <m:r>
            <m:rPr>
              <m:sty m:val="p"/>
            </m:rPr>
            <m:t>∣</m:t>
          </m:r>
          <m:r>
            <m:t>N</m:t>
          </m:r>
          <m:r>
            <m:rPr>
              <m:sty m:val="p"/>
            </m:rPr>
            <m:t>,</m:t>
          </m:r>
          <m:r>
            <m:t>E</m:t>
          </m:r>
          <m:r>
            <m:rPr>
              <m:sty m:val="p"/>
            </m:rPr>
            <m:t>]</m:t>
          </m:r>
          <m:r>
            <m:rPr>
              <m:sty m:val="p"/>
            </m:rPr>
            <m:t>=</m:t>
          </m:r>
          <m:f>
            <m:fPr>
              <m:type m:val="bar"/>
            </m:fPr>
            <m:num>
              <m:sSub>
                <m:e>
                  <m:r>
                    <m:t>α</m:t>
                  </m:r>
                </m:e>
                <m:sub>
                  <m:r>
                    <m:t>0</m:t>
                  </m:r>
                </m:sub>
              </m:sSub>
              <m:r>
                <m:rPr>
                  <m:sty m:val="p"/>
                </m:rPr>
                <m:t>+</m:t>
              </m:r>
              <m:r>
                <m:t>N</m:t>
              </m:r>
            </m:num>
            <m:den>
              <m:sSub>
                <m:e>
                  <m:r>
                    <m:t>β</m:t>
                  </m:r>
                </m:e>
                <m:sub>
                  <m:r>
                    <m:t>0</m:t>
                  </m:r>
                </m:sub>
              </m:sSub>
              <m:r>
                <m:rPr>
                  <m:sty m:val="p"/>
                </m:rPr>
                <m:t>+</m:t>
              </m:r>
              <m:r>
                <m:t>E</m:t>
              </m:r>
            </m:den>
          </m:f>
          <m:r>
            <m:rPr>
              <m:sty m:val="p"/>
            </m:rPr>
            <m:t>.</m:t>
          </m:r>
        </m:oMath>
      </m:oMathPara>
    </w:p>
    <w:p>
      <w:pPr>
        <w:pStyle w:val="FirstParagraph"/>
      </w:pPr>
      <w:r>
        <w:t xml:space="preserve">Diese Form ist für seltene Ereignisse besonders nützlich, weil Nullereignisse nicht automatisch zu einer exakten Nullrate führen.</w:t>
      </w:r>
    </w:p>
    <w:bookmarkEnd w:id="50"/>
    <w:bookmarkStart w:id="51" w:name="nennerkompatibilität"/>
    <w:p>
      <w:pPr>
        <w:pStyle w:val="Heading2"/>
      </w:pPr>
      <w:r>
        <w:rPr>
          <w:rStyle w:val="SectionNumber"/>
        </w:rPr>
        <w:t xml:space="preserve">7.3</w:t>
      </w:r>
      <w:r>
        <w:tab/>
      </w:r>
      <w:r>
        <w:t xml:space="preserve">6.3 Nennerkompatibilität</w:t>
      </w:r>
    </w:p>
    <w:p>
      <w:pPr>
        <w:pStyle w:val="FirstParagraph"/>
      </w:pPr>
      <w:r>
        <w:t xml:space="preserve">Fahrzeugkilometer und Personenkilometer sind nicht identisch. Bei durchschnittlicher Belegung</w:t>
      </w:r>
      <w:r>
        <w:t xml:space="preserve"> </w:t>
      </w:r>
      <m:oMath>
        <m:r>
          <m:t>o</m:t>
        </m:r>
      </m:oMath>
      <w:r>
        <w:t xml:space="preserve"> </w:t>
      </w:r>
      <w:r>
        <w:t xml:space="preserve">gilt näherungsweise</w:t>
      </w:r>
    </w:p>
    <w:p>
      <w:pPr>
        <w:pStyle w:val="BodyText"/>
      </w:pPr>
      <m:oMathPara>
        <m:oMathParaPr>
          <m:jc m:val="center"/>
        </m:oMathParaPr>
        <m:oMath>
          <m:sSub>
            <m:e>
              <m:r>
                <m:t>E</m:t>
              </m:r>
            </m:e>
            <m:sub>
              <m:r>
                <m:rPr>
                  <m:sty m:val="p"/>
                </m:rPr>
                <m:t>p</m:t>
              </m:r>
              <m:r>
                <m:rPr>
                  <m:sty m:val="p"/>
                </m:rPr>
                <m:t>e</m:t>
              </m:r>
              <m:r>
                <m:rPr>
                  <m:sty m:val="p"/>
                </m:rPr>
                <m:t>r</m:t>
              </m:r>
              <m:r>
                <m:rPr>
                  <m:sty m:val="p"/>
                </m:rPr>
                <m:t>s</m:t>
              </m:r>
              <m:r>
                <m:rPr>
                  <m:sty m:val="p"/>
                </m:rPr>
                <m:t>o</m:t>
              </m:r>
              <m:r>
                <m:rPr>
                  <m:sty m:val="p"/>
                </m:rPr>
                <m:t>n</m:t>
              </m:r>
              <m:r>
                <m:rPr>
                  <m:sty m:val="p"/>
                </m:rPr>
                <m:t> </m:t>
              </m:r>
              <m:r>
                <m:rPr>
                  <m:sty m:val="p"/>
                </m:rPr>
                <m:t>k</m:t>
              </m:r>
              <m:r>
                <m:rPr>
                  <m:sty m:val="p"/>
                </m:rPr>
                <m:t>m</m:t>
              </m:r>
            </m:sub>
          </m:sSub>
          <m:r>
            <m:rPr>
              <m:sty m:val="p"/>
            </m:rPr>
            <m:t>=</m:t>
          </m:r>
          <m:r>
            <m:t>o</m:t>
          </m:r>
          <m:r>
            <m:t> </m:t>
          </m:r>
          <m:sSub>
            <m:e>
              <m:r>
                <m:t>E</m:t>
              </m:r>
            </m:e>
            <m:sub>
              <m:r>
                <m:rPr>
                  <m:sty m:val="p"/>
                </m:rPr>
                <m:t>v</m:t>
              </m:r>
              <m:r>
                <m:rPr>
                  <m:sty m:val="p"/>
                </m:rPr>
                <m:t>e</m:t>
              </m:r>
              <m:r>
                <m:rPr>
                  <m:sty m:val="p"/>
                </m:rPr>
                <m:t>h</m:t>
              </m:r>
              <m:r>
                <m:rPr>
                  <m:sty m:val="p"/>
                </m:rPr>
                <m:t>i</m:t>
              </m:r>
              <m:r>
                <m:rPr>
                  <m:sty m:val="p"/>
                </m:rPr>
                <m:t>c</m:t>
              </m:r>
              <m:r>
                <m:rPr>
                  <m:sty m:val="p"/>
                </m:rPr>
                <m:t>l</m:t>
              </m:r>
              <m:r>
                <m:rPr>
                  <m:sty m:val="p"/>
                </m:rPr>
                <m:t>e</m:t>
              </m:r>
              <m:r>
                <m:rPr>
                  <m:sty m:val="p"/>
                </m:rPr>
                <m:t> </m:t>
              </m:r>
              <m:r>
                <m:rPr>
                  <m:sty m:val="p"/>
                </m:rPr>
                <m:t>k</m:t>
              </m:r>
              <m:r>
                <m:rPr>
                  <m:sty m:val="p"/>
                </m:rPr>
                <m:t>m</m:t>
              </m:r>
            </m:sub>
          </m:sSub>
          <m:r>
            <m:rPr>
              <m:sty m:val="p"/>
            </m:rPr>
            <m:t>.</m:t>
          </m:r>
        </m:oMath>
      </m:oMathPara>
    </w:p>
    <w:p>
      <w:pPr>
        <w:pStyle w:val="FirstParagraph"/>
      </w:pPr>
      <w:r>
        <w:t xml:space="preserve">Die Belegung ist selbst unsicher und domänenabhängig. Eine Rate je Fahrzeugkilometer darf nur nach expliziter Umrechnung als Rate je Personenkilometer verwendet werden.</w:t>
      </w:r>
    </w:p>
    <w:bookmarkEnd w:id="51"/>
    <w:bookmarkStart w:id="52" w:name="exposure-offset-im-regressionsmodell"/>
    <w:p>
      <w:pPr>
        <w:pStyle w:val="Heading2"/>
      </w:pPr>
      <w:r>
        <w:rPr>
          <w:rStyle w:val="SectionNumber"/>
        </w:rPr>
        <w:t xml:space="preserve">7.4</w:t>
      </w:r>
      <w:r>
        <w:tab/>
      </w:r>
      <w:r>
        <w:t xml:space="preserve">6.4 Exposure Offset im Regressionsmodell</w:t>
      </w:r>
    </w:p>
    <w:p>
      <w:pPr>
        <w:pStyle w:val="FirstParagraph"/>
      </w:pPr>
      <w:r>
        <w:t xml:space="preserve">Für Ereigniszahlen</w:t>
      </w:r>
      <w:r>
        <w:t xml:space="preserve"> </w:t>
      </w:r>
      <m:oMath>
        <m:sSub>
          <m:e>
            <m:r>
              <m:t>N</m:t>
            </m:r>
          </m:e>
          <m:sub>
            <m:r>
              <m:t>i</m:t>
            </m:r>
          </m:sub>
        </m:sSub>
      </m:oMath>
      <w:r>
        <w:t xml:space="preserve"> </w:t>
      </w:r>
      <w:r>
        <w:t xml:space="preserve">und Expositionen</w:t>
      </w:r>
      <w:r>
        <w:t xml:space="preserve"> </w:t>
      </w:r>
      <m:oMath>
        <m:sSub>
          <m:e>
            <m:r>
              <m:t>E</m:t>
            </m:r>
          </m:e>
          <m:sub>
            <m:r>
              <m:t>i</m:t>
            </m:r>
          </m:sub>
        </m:sSub>
      </m:oMath>
      <w:r>
        <w:t xml:space="preserve"> </w:t>
      </w:r>
      <w:r>
        <w:t xml:space="preserve">lautet ein Poisson-GLM</w:t>
      </w:r>
    </w:p>
    <w:p>
      <w:pPr>
        <w:pStyle w:val="BodyText"/>
      </w:pPr>
      <m:oMathPara>
        <m:oMathParaPr>
          <m:jc m:val="center"/>
        </m:oMathParaPr>
        <m:oMath>
          <m:sSub>
            <m:e>
              <m:r>
                <m:t>N</m:t>
              </m:r>
            </m:e>
            <m:sub>
              <m:r>
                <m:t>i</m:t>
              </m:r>
            </m:sub>
          </m:sSub>
          <m:r>
            <m:rPr>
              <m:sty m:val="p"/>
            </m:rPr>
            <m:t>∼</m:t>
          </m:r>
          <m:r>
            <m:rPr>
              <m:sty m:val="p"/>
            </m:rPr>
            <m:t>Poisson</m:t>
          </m:r>
          <m:r>
            <m:rPr>
              <m:sty m:val="p"/>
            </m:rPr>
            <m:t>(</m:t>
          </m:r>
          <m:sSub>
            <m:e>
              <m:r>
                <m:t>μ</m:t>
              </m:r>
            </m:e>
            <m:sub>
              <m:r>
                <m:t>i</m:t>
              </m:r>
            </m:sub>
          </m:sSub>
          <m:r>
            <m:rPr>
              <m:sty m:val="p"/>
            </m:rPr>
            <m:t>)</m:t>
          </m:r>
          <m:r>
            <m:rPr>
              <m:sty m:val="p"/>
            </m:rPr>
            <m:t>,</m:t>
          </m:r>
        </m:oMath>
      </m:oMathPara>
    </w:p>
    <w:p>
      <w:pPr>
        <w:pStyle w:val="FirstParagraph"/>
      </w:pPr>
      <m:oMathPara>
        <m:oMathParaPr>
          <m:jc m:val="center"/>
        </m:oMathParaPr>
        <m:oMath>
          <m:r>
            <m:rPr>
              <m:sty m:val="p"/>
            </m:rPr>
            <m:t>log</m:t>
          </m:r>
          <m:sSub>
            <m:e>
              <m:r>
                <m:t>μ</m:t>
              </m:r>
            </m:e>
            <m:sub>
              <m:r>
                <m:t>i</m:t>
              </m:r>
            </m:sub>
          </m:sSub>
          <m:r>
            <m:rPr>
              <m:sty m:val="p"/>
            </m:rPr>
            <m:t>=</m:t>
          </m:r>
          <m:r>
            <m:rPr>
              <m:sty m:val="p"/>
            </m:rPr>
            <m:t>log</m:t>
          </m:r>
          <m:sSub>
            <m:e>
              <m:r>
                <m:t>E</m:t>
              </m:r>
            </m:e>
            <m:sub>
              <m:r>
                <m:t>i</m:t>
              </m:r>
            </m:sub>
          </m:sSub>
          <m:r>
            <m:rPr>
              <m:sty m:val="p"/>
            </m:rPr>
            <m:t>+</m:t>
          </m:r>
          <m:sSub>
            <m:e>
              <m:r>
                <m:t>β</m:t>
              </m:r>
            </m:e>
            <m:sub>
              <m:r>
                <m:t>0</m:t>
              </m:r>
            </m:sub>
          </m:sSub>
          <m:r>
            <m:rPr>
              <m:sty m:val="p"/>
            </m:rPr>
            <m:t>+</m:t>
          </m:r>
          <m:sSubSup>
            <m:e>
              <m:r>
                <m:t>x</m:t>
              </m:r>
            </m:e>
            <m:sub>
              <m:r>
                <m:t>i</m:t>
              </m:r>
            </m:sub>
            <m:sup>
              <m:r>
                <m:rPr>
                  <m:sty m:val="p"/>
                </m:rPr>
                <m:t>⊤</m:t>
              </m:r>
            </m:sup>
          </m:sSubSup>
          <m:r>
            <m:t>β</m:t>
          </m:r>
          <m:r>
            <m:rPr>
              <m:sty m:val="p"/>
            </m:rPr>
            <m:t>.</m:t>
          </m:r>
        </m:oMath>
      </m:oMathPara>
    </w:p>
    <w:p>
      <w:pPr>
        <w:pStyle w:val="FirstParagraph"/>
      </w:pPr>
      <w:r>
        <w:t xml:space="preserve">Der Term</w:t>
      </w:r>
      <w:r>
        <w:t xml:space="preserve"> </w:t>
      </w:r>
      <m:oMath>
        <m:r>
          <m:rPr>
            <m:sty m:val="p"/>
          </m:rPr>
          <m:t>log</m:t>
        </m:r>
        <m:sSub>
          <m:e>
            <m:r>
              <m:t>E</m:t>
            </m:r>
          </m:e>
          <m:sub>
            <m:r>
              <m:t>i</m:t>
            </m:r>
          </m:sub>
        </m:sSub>
      </m:oMath>
      <w:r>
        <w:t xml:space="preserve"> </w:t>
      </w:r>
      <w:r>
        <w:t xml:space="preserve">ist ein Offset mit festem Koeffizienten 1. Damit modelliert</w:t>
      </w:r>
    </w:p>
    <w:p>
      <w:pPr>
        <w:pStyle w:val="BodyText"/>
      </w:pPr>
      <m:oMathPara>
        <m:oMathParaPr>
          <m:jc m:val="center"/>
        </m:oMathParaPr>
        <m:oMath>
          <m:r>
            <m:rPr>
              <m:sty m:val="p"/>
            </m:rPr>
            <m:t>log</m:t>
          </m:r>
          <m:d>
            <m:dPr>
              <m:begChr m:val="("/>
              <m:sepChr m:val=""/>
              <m:endChr m:val=")"/>
              <m:grow/>
            </m:dPr>
            <m:e>
              <m:f>
                <m:fPr>
                  <m:type m:val="bar"/>
                </m:fPr>
                <m:num>
                  <m:sSub>
                    <m:e>
                      <m:r>
                        <m:t>μ</m:t>
                      </m:r>
                    </m:e>
                    <m:sub>
                      <m:r>
                        <m:t>i</m:t>
                      </m:r>
                    </m:sub>
                  </m:sSub>
                </m:num>
                <m:den>
                  <m:sSub>
                    <m:e>
                      <m:r>
                        <m:t>E</m:t>
                      </m:r>
                    </m:e>
                    <m:sub>
                      <m:r>
                        <m:t>i</m:t>
                      </m:r>
                    </m:sub>
                  </m:sSub>
                </m:den>
              </m:f>
            </m:e>
          </m:d>
          <m:r>
            <m:rPr>
              <m:sty m:val="p"/>
            </m:rPr>
            <m:t>=</m:t>
          </m:r>
          <m:sSub>
            <m:e>
              <m:r>
                <m:t>β</m:t>
              </m:r>
            </m:e>
            <m:sub>
              <m:r>
                <m:t>0</m:t>
              </m:r>
            </m:sub>
          </m:sSub>
          <m:r>
            <m:rPr>
              <m:sty m:val="p"/>
            </m:rPr>
            <m:t>+</m:t>
          </m:r>
          <m:sSubSup>
            <m:e>
              <m:r>
                <m:t>x</m:t>
              </m:r>
            </m:e>
            <m:sub>
              <m:r>
                <m:t>i</m:t>
              </m:r>
            </m:sub>
            <m:sup>
              <m:r>
                <m:rPr>
                  <m:sty m:val="p"/>
                </m:rPr>
                <m:t>⊤</m:t>
              </m:r>
            </m:sup>
          </m:sSubSup>
          <m:r>
            <m:t>β</m:t>
          </m:r>
        </m:oMath>
      </m:oMathPara>
    </w:p>
    <w:p>
      <w:pPr>
        <w:pStyle w:val="FirstParagraph"/>
      </w:pPr>
      <w:r>
        <w:t xml:space="preserve">die Ereignisrate und nicht die absolute Ereigniszahl.</w:t>
      </w:r>
    </w:p>
    <w:bookmarkEnd w:id="52"/>
    <w:bookmarkEnd w:id="53"/>
    <w:bookmarkStart w:id="62" w:name="X7da779690e8acd516c35a2beca2b8fb2a6c73d7"/>
    <w:p>
      <w:pPr>
        <w:pStyle w:val="Heading1"/>
      </w:pPr>
      <w:r>
        <w:rPr>
          <w:rStyle w:val="SectionNumber"/>
        </w:rPr>
        <w:t xml:space="preserve">8</w:t>
      </w:r>
      <w:r>
        <w:tab/>
      </w:r>
      <w:r>
        <w:t xml:space="preserve">7. Referenzimplementierung Mobilität und Pkw</w:t>
      </w:r>
    </w:p>
    <w:bookmarkStart w:id="54" w:name="segmentierung"/>
    <w:p>
      <w:pPr>
        <w:pStyle w:val="Heading2"/>
      </w:pPr>
      <w:r>
        <w:rPr>
          <w:rStyle w:val="SectionNumber"/>
        </w:rPr>
        <w:t xml:space="preserve">8.1</w:t>
      </w:r>
      <w:r>
        <w:tab/>
      </w:r>
      <w:r>
        <w:t xml:space="preserve">7.1 Segmentierung</w:t>
      </w:r>
    </w:p>
    <w:p>
      <w:pPr>
        <w:pStyle w:val="FirstParagraph"/>
      </w:pPr>
      <w:r>
        <w:t xml:space="preserve">Eine Fahrt wird in homogene Segmente</w:t>
      </w:r>
      <w:r>
        <w:t xml:space="preserve"> </w:t>
      </w:r>
      <m:oMath>
        <m:r>
          <m:t>s</m:t>
        </m:r>
      </m:oMath>
      <w:r>
        <w:t xml:space="preserve"> </w:t>
      </w:r>
      <w:r>
        <w:t xml:space="preserve">unterteilt. Jedes Segment besitzt Strecke</w:t>
      </w:r>
      <w:r>
        <w:t xml:space="preserve"> </w:t>
      </w:r>
      <m:oMath>
        <m:sSub>
          <m:e>
            <m:r>
              <m:t>d</m:t>
            </m:r>
          </m:e>
          <m:sub>
            <m:r>
              <m:t>s</m:t>
            </m:r>
          </m:sub>
        </m:sSub>
      </m:oMath>
      <w:r>
        <w:t xml:space="preserve">, Straßentyp</w:t>
      </w:r>
      <w:r>
        <w:t xml:space="preserve"> </w:t>
      </w:r>
      <m:oMath>
        <m:sSub>
          <m:e>
            <m:r>
              <m:t>g</m:t>
            </m:r>
          </m:e>
          <m:sub>
            <m:r>
              <m:t>s</m:t>
            </m:r>
          </m:sub>
        </m:sSub>
      </m:oMath>
      <w:r>
        <w:t xml:space="preserve">, Kontext</w:t>
      </w:r>
      <w:r>
        <w:t xml:space="preserve"> </w:t>
      </w:r>
      <m:oMath>
        <m:sSub>
          <m:e>
            <m:r>
              <m:t>x</m:t>
            </m:r>
          </m:e>
          <m:sub>
            <m:r>
              <m:t>s</m:t>
            </m:r>
          </m:sub>
        </m:sSub>
      </m:oMath>
      <w:r>
        <w:t xml:space="preserve"> </w:t>
      </w:r>
      <w:r>
        <w:t xml:space="preserve">und Barrieren</w:t>
      </w:r>
      <w:r>
        <w:t xml:space="preserve"> </w:t>
      </w:r>
      <m:oMath>
        <m:sSub>
          <m:e>
            <m:r>
              <m:t>z</m:t>
            </m:r>
          </m:e>
          <m:sub>
            <m:r>
              <m:t>s</m:t>
            </m:r>
          </m:sub>
        </m:sSub>
      </m:oMath>
      <w:r>
        <w:t xml:space="preserve">:</w:t>
      </w:r>
    </w:p>
    <w:p>
      <w:pPr>
        <w:pStyle w:val="BodyText"/>
      </w:pPr>
      <m:oMathPara>
        <m:oMathParaPr>
          <m:jc m:val="center"/>
        </m:oMathParaPr>
        <m:oMath>
          <m:sSub>
            <m:e>
              <m:r>
                <m:t>H</m:t>
              </m:r>
            </m:e>
            <m:sub>
              <m:r>
                <m:rPr>
                  <m:sty m:val="p"/>
                </m:rPr>
                <m:t>c</m:t>
              </m:r>
              <m:r>
                <m:rPr>
                  <m:sty m:val="p"/>
                </m:rPr>
                <m:t>r</m:t>
              </m:r>
              <m:r>
                <m:rPr>
                  <m:sty m:val="p"/>
                </m:rPr>
                <m:t>a</m:t>
              </m:r>
              <m:r>
                <m:rPr>
                  <m:sty m:val="p"/>
                </m:rPr>
                <m:t>s</m:t>
              </m:r>
              <m:r>
                <m:rPr>
                  <m:sty m:val="p"/>
                </m:rPr>
                <m:t>h</m:t>
              </m:r>
            </m:sub>
          </m:sSub>
          <m:r>
            <m:rPr>
              <m:sty m:val="p"/>
            </m:rPr>
            <m:t>=</m:t>
          </m:r>
          <m:nary>
            <m:naryPr>
              <m:chr m:val="∑"/>
              <m:limLoc m:val="undOvr"/>
              <m:subHide m:val="off"/>
              <m:supHide m:val="on"/>
            </m:naryPr>
            <m:sub>
              <m:r>
                <m:t>s</m:t>
              </m:r>
            </m:sub>
            <m:sup>
              <m:r>
                <m:t>​</m:t>
              </m:r>
            </m:sup>
            <m:e>
              <m:sSub>
                <m:e>
                  <m:r>
                    <m:t>d</m:t>
                  </m:r>
                </m:e>
                <m:sub>
                  <m:r>
                    <m:t>s</m:t>
                  </m:r>
                </m:sub>
              </m:sSub>
            </m:e>
          </m:nary>
          <m:sSub>
            <m:e>
              <m:r>
                <m:t>r</m:t>
              </m:r>
            </m:e>
            <m:sub>
              <m:sSub>
                <m:e>
                  <m:r>
                    <m:t>g</m:t>
                  </m:r>
                </m:e>
                <m:sub>
                  <m:r>
                    <m:t>s</m:t>
                  </m:r>
                </m:sub>
              </m:sSub>
            </m:sub>
          </m:sSub>
          <m:r>
            <m:rPr>
              <m:sty m:val="p"/>
            </m:rPr>
            <m:t>(</m:t>
          </m:r>
          <m:sSub>
            <m:e>
              <m:r>
                <m:t>x</m:t>
              </m:r>
            </m:e>
            <m:sub>
              <m:r>
                <m:t>s</m:t>
              </m:r>
            </m:sub>
          </m:sSub>
          <m:r>
            <m:rPr>
              <m:sty m:val="p"/>
            </m:rPr>
            <m:t>)</m:t>
          </m:r>
          <m:sSub>
            <m:e>
              <m:r>
                <m:t>B</m:t>
              </m:r>
            </m:e>
            <m:sub>
              <m:r>
                <m:rPr>
                  <m:sty m:val="p"/>
                </m:rPr>
                <m:t>c</m:t>
              </m:r>
              <m:r>
                <m:rPr>
                  <m:sty m:val="p"/>
                </m:rPr>
                <m:t>r</m:t>
              </m:r>
              <m:r>
                <m:rPr>
                  <m:sty m:val="p"/>
                </m:rPr>
                <m:t>a</m:t>
              </m:r>
              <m:r>
                <m:rPr>
                  <m:sty m:val="p"/>
                </m:rPr>
                <m:t>s</m:t>
              </m:r>
              <m:r>
                <m:rPr>
                  <m:sty m:val="p"/>
                </m:rPr>
                <m:t>h</m:t>
              </m:r>
            </m:sub>
          </m:sSub>
          <m:r>
            <m:rPr>
              <m:sty m:val="p"/>
            </m:rPr>
            <m:t>(</m:t>
          </m:r>
          <m:sSub>
            <m:e>
              <m:r>
                <m:t>z</m:t>
              </m:r>
            </m:e>
            <m:sub>
              <m:r>
                <m:t>s</m:t>
              </m:r>
            </m:sub>
          </m:sSub>
          <m:r>
            <m:rPr>
              <m:sty m:val="p"/>
            </m:rPr>
            <m:t>)</m:t>
          </m:r>
          <m:r>
            <m:rPr>
              <m:sty m:val="p"/>
            </m:rPr>
            <m:t>.</m:t>
          </m:r>
        </m:oMath>
      </m:oMathPara>
    </w:p>
    <w:p>
      <w:pPr>
        <w:pStyle w:val="FirstParagraph"/>
      </w:pPr>
      <w:r>
        <w:t xml:space="preserve">Die Wahrscheinlichkeit mindestens eines Unfalls ist</w:t>
      </w:r>
    </w:p>
    <w:p>
      <w:pPr>
        <w:pStyle w:val="BodyText"/>
      </w:pPr>
      <m:oMathPara>
        <m:oMathParaPr>
          <m:jc m:val="center"/>
        </m:oMathParaPr>
        <m:oMath>
          <m:r>
            <m:t>P</m:t>
          </m:r>
          <m:r>
            <m:rPr>
              <m:sty m:val="p"/>
            </m:rPr>
            <m:t>(</m:t>
          </m:r>
          <m:r>
            <m:t>C</m:t>
          </m:r>
          <m:r>
            <m:rPr>
              <m:sty m:val="p"/>
            </m:rPr>
            <m:t>≥</m:t>
          </m:r>
          <m:r>
            <m:t>1</m:t>
          </m:r>
          <m:r>
            <m:rPr>
              <m:sty m:val="p"/>
            </m:rPr>
            <m:t>)</m:t>
          </m:r>
          <m:r>
            <m:rPr>
              <m:sty m:val="p"/>
            </m:rPr>
            <m:t>=</m:t>
          </m:r>
          <m:r>
            <m:t>1</m:t>
          </m:r>
          <m:r>
            <m:rPr>
              <m:sty m:val="p"/>
            </m:rPr>
            <m:t>−</m:t>
          </m:r>
          <m:sSup>
            <m:e>
              <m:r>
                <m:t>e</m:t>
              </m:r>
            </m:e>
            <m:sup>
              <m:r>
                <m:rPr>
                  <m:sty m:val="p"/>
                </m:rPr>
                <m:t>−</m:t>
              </m:r>
              <m:sSub>
                <m:e>
                  <m:r>
                    <m:t>H</m:t>
                  </m:r>
                </m:e>
                <m:sub>
                  <m:r>
                    <m:rPr>
                      <m:sty m:val="p"/>
                    </m:rPr>
                    <m:t>c</m:t>
                  </m:r>
                  <m:r>
                    <m:rPr>
                      <m:sty m:val="p"/>
                    </m:rPr>
                    <m:t>r</m:t>
                  </m:r>
                  <m:r>
                    <m:rPr>
                      <m:sty m:val="p"/>
                    </m:rPr>
                    <m:t>a</m:t>
                  </m:r>
                  <m:r>
                    <m:rPr>
                      <m:sty m:val="p"/>
                    </m:rPr>
                    <m:t>s</m:t>
                  </m:r>
                  <m:r>
                    <m:rPr>
                      <m:sty m:val="p"/>
                    </m:rPr>
                    <m:t>h</m:t>
                  </m:r>
                </m:sub>
              </m:sSub>
            </m:sup>
          </m:sSup>
          <m:r>
            <m:rPr>
              <m:sty m:val="p"/>
            </m:rPr>
            <m:t>.</m:t>
          </m:r>
        </m:oMath>
      </m:oMathPara>
    </w:p>
    <w:bookmarkEnd w:id="54"/>
    <w:bookmarkStart w:id="55" w:name="frequenzmodell-und-überdispersion"/>
    <w:p>
      <w:pPr>
        <w:pStyle w:val="Heading2"/>
      </w:pPr>
      <w:r>
        <w:rPr>
          <w:rStyle w:val="SectionNumber"/>
        </w:rPr>
        <w:t xml:space="preserve">8.2</w:t>
      </w:r>
      <w:r>
        <w:tab/>
      </w:r>
      <w:r>
        <w:t xml:space="preserve">7.2 Frequenzmodell und Überdispersion</w:t>
      </w:r>
    </w:p>
    <w:p>
      <w:pPr>
        <w:pStyle w:val="FirstParagraph"/>
      </w:pPr>
      <w:r>
        <w:t xml:space="preserve">Bei Verkehrsunfällen ist die Varianz häufig größer als der Mittelwert. Ein Negative-Binomial-Modell erlaubt</w:t>
      </w:r>
    </w:p>
    <w:p>
      <w:pPr>
        <w:pStyle w:val="BodyText"/>
      </w:pPr>
      <m:oMathPara>
        <m:oMathParaPr>
          <m:jc m:val="center"/>
        </m:oMathParaPr>
        <m:oMath>
          <m:sSub>
            <m:e>
              <m:r>
                <m:t>N</m:t>
              </m:r>
            </m:e>
            <m:sub>
              <m:r>
                <m:t>i</m:t>
              </m:r>
            </m:sub>
          </m:sSub>
          <m:r>
            <m:rPr>
              <m:sty m:val="p"/>
            </m:rPr>
            <m:t>∼</m:t>
          </m:r>
          <m:r>
            <m:rPr>
              <m:sty m:val="p"/>
            </m:rPr>
            <m:t>NegBin</m:t>
          </m:r>
          <m:r>
            <m:rPr>
              <m:sty m:val="p"/>
            </m:rPr>
            <m:t>(</m:t>
          </m:r>
          <m:sSub>
            <m:e>
              <m:r>
                <m:t>μ</m:t>
              </m:r>
            </m:e>
            <m:sub>
              <m:r>
                <m:t>i</m:t>
              </m:r>
            </m:sub>
          </m:sSub>
          <m:r>
            <m:rPr>
              <m:sty m:val="p"/>
            </m:rPr>
            <m:t>,</m:t>
          </m:r>
          <m:r>
            <m:t>ϕ</m:t>
          </m:r>
          <m:r>
            <m:rPr>
              <m:sty m:val="p"/>
            </m:rPr>
            <m:t>)</m:t>
          </m:r>
          <m:r>
            <m:rPr>
              <m:sty m:val="p"/>
            </m:rPr>
            <m:t>,</m:t>
          </m:r>
        </m:oMath>
      </m:oMathPara>
    </w:p>
    <w:p>
      <w:pPr>
        <w:pStyle w:val="FirstParagraph"/>
      </w:pPr>
      <m:oMathPara>
        <m:oMathParaPr>
          <m:jc m:val="center"/>
        </m:oMathParaPr>
        <m:oMath>
          <m:r>
            <m:rPr>
              <m:sty m:val="p"/>
            </m:rPr>
            <m:t>Var</m:t>
          </m:r>
          <m:r>
            <m:rPr>
              <m:sty m:val="p"/>
            </m:rPr>
            <m:t>(</m:t>
          </m:r>
          <m:sSub>
            <m:e>
              <m:r>
                <m:t>N</m:t>
              </m:r>
            </m:e>
            <m:sub>
              <m:r>
                <m:t>i</m:t>
              </m:r>
            </m:sub>
          </m:sSub>
          <m:r>
            <m:rPr>
              <m:sty m:val="p"/>
            </m:rPr>
            <m:t>)</m:t>
          </m:r>
          <m:r>
            <m:rPr>
              <m:sty m:val="p"/>
            </m:rPr>
            <m:t>=</m:t>
          </m:r>
          <m:sSub>
            <m:e>
              <m:r>
                <m:t>μ</m:t>
              </m:r>
            </m:e>
            <m:sub>
              <m:r>
                <m:t>i</m:t>
              </m:r>
            </m:sub>
          </m:sSub>
          <m:r>
            <m:rPr>
              <m:sty m:val="p"/>
            </m:rPr>
            <m:t>+</m:t>
          </m:r>
          <m:r>
            <m:t>ϕ</m:t>
          </m:r>
          <m:sSubSup>
            <m:e>
              <m:r>
                <m:t>μ</m:t>
              </m:r>
            </m:e>
            <m:sub>
              <m:r>
                <m:t>i</m:t>
              </m:r>
            </m:sub>
            <m:sup>
              <m:r>
                <m:t>2</m:t>
              </m:r>
            </m:sup>
          </m:sSubSup>
          <m:r>
            <m:rPr>
              <m:sty m:val="p"/>
            </m:rPr>
            <m:t>.</m:t>
          </m:r>
        </m:oMath>
      </m:oMathPara>
    </w:p>
    <w:p>
      <w:pPr>
        <w:pStyle w:val="FirstParagraph"/>
      </w:pPr>
      <w:r>
        <w:t xml:space="preserve">Für</w:t>
      </w:r>
      <w:r>
        <w:t xml:space="preserve"> </w:t>
      </w:r>
      <m:oMath>
        <m:r>
          <m:t>ϕ</m:t>
        </m:r>
        <m:r>
          <m:rPr>
            <m:sty m:val="p"/>
          </m:rPr>
          <m:t>→</m:t>
        </m:r>
        <m:r>
          <m:t>0</m:t>
        </m:r>
      </m:oMath>
      <w:r>
        <w:t xml:space="preserve"> </w:t>
      </w:r>
      <w:r>
        <w:t xml:space="preserve">nähert sich das Modell der Poisson-Verteilung.</w:t>
      </w:r>
      <w:r>
        <w:t xml:space="preserve"> </w:t>
      </w:r>
      <m:oMath>
        <m:r>
          <m:t>ϕ</m:t>
        </m:r>
      </m:oMath>
      <w:r>
        <w:t xml:space="preserve"> </w:t>
      </w:r>
      <w:r>
        <w:t xml:space="preserve">wird aus Daten geschätzt, nicht vorgegeben.</w:t>
      </w:r>
    </w:p>
    <w:bookmarkEnd w:id="55"/>
    <w:bookmarkStart w:id="56" w:name="empirical-bayes-kalibrierung"/>
    <w:p>
      <w:pPr>
        <w:pStyle w:val="Heading2"/>
      </w:pPr>
      <w:r>
        <w:rPr>
          <w:rStyle w:val="SectionNumber"/>
        </w:rPr>
        <w:t xml:space="preserve">8.3</w:t>
      </w:r>
      <w:r>
        <w:tab/>
      </w:r>
      <w:r>
        <w:t xml:space="preserve">7.3 Empirical-Bayes-Kalibrierung</w:t>
      </w:r>
    </w:p>
    <w:p>
      <w:pPr>
        <w:pStyle w:val="FirstParagraph"/>
      </w:pPr>
      <w:r>
        <w:t xml:space="preserve">Sei</w:t>
      </w:r>
      <w:r>
        <w:t xml:space="preserve"> </w:t>
      </w:r>
      <m:oMath>
        <m:sSub>
          <m:e>
            <m:r>
              <m:t>N</m:t>
            </m:r>
          </m:e>
          <m:sub>
            <m:r>
              <m:t>i</m:t>
            </m:r>
          </m:sub>
        </m:sSub>
      </m:oMath>
      <w:r>
        <w:t xml:space="preserve"> </w:t>
      </w:r>
      <w:r>
        <w:t xml:space="preserve">die beobachtete Unfallzahl eines Segments und</w:t>
      </w:r>
      <w:r>
        <w:t xml:space="preserve"> </w:t>
      </w:r>
      <m:oMath>
        <m:sSub>
          <m:e>
            <m:acc>
              <m:accPr>
                <m:chr m:val="̂"/>
              </m:accPr>
              <m:e>
                <m:r>
                  <m:t>μ</m:t>
                </m:r>
              </m:e>
            </m:acc>
          </m:e>
          <m:sub>
            <m:r>
              <m:t>i</m:t>
            </m:r>
          </m:sub>
        </m:sSub>
      </m:oMath>
      <w:r>
        <w:t xml:space="preserve"> </w:t>
      </w:r>
      <w:r>
        <w:t xml:space="preserve">die Modellprognose. Eine vereinfachte Empirical-Bayes-Schätzung kann geschrieben werden als</w:t>
      </w:r>
    </w:p>
    <w:p>
      <w:pPr>
        <w:pStyle w:val="BodyText"/>
      </w:pPr>
      <m:oMathPara>
        <m:oMathParaPr>
          <m:jc m:val="center"/>
        </m:oMathParaPr>
        <m:oMath>
          <m:sSubSup>
            <m:e>
              <m:acc>
                <m:accPr>
                  <m:chr m:val="̂"/>
                </m:accPr>
                <m:e>
                  <m:r>
                    <m:t>N</m:t>
                  </m:r>
                </m:e>
              </m:acc>
            </m:e>
            <m:sub>
              <m:r>
                <m:t>i</m:t>
              </m:r>
            </m:sub>
            <m:sup>
              <m:r>
                <m:t>E</m:t>
              </m:r>
              <m:r>
                <m:t>B</m:t>
              </m:r>
            </m:sup>
          </m:sSubSup>
          <m:r>
            <m:rPr>
              <m:sty m:val="p"/>
            </m:rPr>
            <m:t>=</m:t>
          </m:r>
          <m:sSub>
            <m:e>
              <m:r>
                <m:t>w</m:t>
              </m:r>
            </m:e>
            <m:sub>
              <m:r>
                <m:t>i</m:t>
              </m:r>
            </m:sub>
          </m:sSub>
          <m:sSub>
            <m:e>
              <m:acc>
                <m:accPr>
                  <m:chr m:val="̂"/>
                </m:accPr>
                <m:e>
                  <m:r>
                    <m:t>μ</m:t>
                  </m:r>
                </m:e>
              </m:acc>
            </m:e>
            <m:sub>
              <m:r>
                <m:t>i</m:t>
              </m:r>
            </m:sub>
          </m:sSub>
          <m:r>
            <m:rPr>
              <m:sty m:val="p"/>
            </m:rPr>
            <m:t>+</m:t>
          </m:r>
          <m:r>
            <m:rPr>
              <m:sty m:val="p"/>
            </m:rPr>
            <m:t>(</m:t>
          </m:r>
          <m:r>
            <m:t>1</m:t>
          </m:r>
          <m:r>
            <m:rPr>
              <m:sty m:val="p"/>
            </m:rPr>
            <m:t>−</m:t>
          </m:r>
          <m:sSub>
            <m:e>
              <m:r>
                <m:t>w</m:t>
              </m:r>
            </m:e>
            <m:sub>
              <m:r>
                <m:t>i</m:t>
              </m:r>
            </m:sub>
          </m:sSub>
          <m:r>
            <m:rPr>
              <m:sty m:val="p"/>
            </m:rPr>
            <m:t>)</m:t>
          </m:r>
          <m:sSub>
            <m:e>
              <m:r>
                <m:t>N</m:t>
              </m:r>
            </m:e>
            <m:sub>
              <m:r>
                <m:t>i</m:t>
              </m:r>
            </m:sub>
          </m:sSub>
          <m:r>
            <m:rPr>
              <m:sty m:val="p"/>
            </m:rPr>
            <m:t>,</m:t>
          </m:r>
        </m:oMath>
      </m:oMathPara>
    </w:p>
    <w:p>
      <w:pPr>
        <w:pStyle w:val="FirstParagraph"/>
      </w:pPr>
      <w:r>
        <w:t xml:space="preserve">wobei das Gewicht von Modellvarianz und Beobachtungsexposition abhängt. Bei geringer lokaler Exposition erhält die Modellprognose mehr Gewicht; bei großer stabiler Erfahrung gewinnt die Beobachtung.</w:t>
      </w:r>
    </w:p>
    <w:bookmarkEnd w:id="56"/>
    <w:bookmarkStart w:id="57" w:name="unfalltypen-und-assistenzsysteme"/>
    <w:p>
      <w:pPr>
        <w:pStyle w:val="Heading2"/>
      </w:pPr>
      <w:r>
        <w:rPr>
          <w:rStyle w:val="SectionNumber"/>
        </w:rPr>
        <w:t xml:space="preserve">8.4</w:t>
      </w:r>
      <w:r>
        <w:tab/>
      </w:r>
      <w:r>
        <w:t xml:space="preserve">7.4 Unfalltypen und Assistenzsysteme</w:t>
      </w:r>
    </w:p>
    <w:p>
      <w:pPr>
        <w:pStyle w:val="FirstParagraph"/>
      </w:pPr>
      <w:r>
        <w:t xml:space="preserve">Für Unfalltyp</w:t>
      </w:r>
      <w:r>
        <w:t xml:space="preserve"> </w:t>
      </w:r>
      <m:oMath>
        <m:r>
          <m:t>k</m:t>
        </m:r>
      </m:oMath>
      <w:r>
        <w:t xml:space="preserve"> </w:t>
      </w:r>
      <w:r>
        <w:t xml:space="preserve">gilt</w:t>
      </w:r>
    </w:p>
    <w:p>
      <w:pPr>
        <w:pStyle w:val="BodyText"/>
      </w:pPr>
      <m:oMathPara>
        <m:oMathParaPr>
          <m:jc m:val="center"/>
        </m:oMathParaPr>
        <m:oMath>
          <m:r>
            <m:t>P</m:t>
          </m:r>
          <m:r>
            <m:rPr>
              <m:sty m:val="p"/>
            </m:rPr>
            <m:t>(</m:t>
          </m:r>
          <m:r>
            <m:t>K</m:t>
          </m:r>
          <m:r>
            <m:rPr>
              <m:sty m:val="p"/>
            </m:rPr>
            <m:t>=</m:t>
          </m:r>
          <m:r>
            <m:t>k</m:t>
          </m:r>
          <m:r>
            <m:rPr>
              <m:sty m:val="p"/>
            </m:rPr>
            <m:t>∣</m:t>
          </m:r>
          <m:r>
            <m:t>C</m:t>
          </m:r>
          <m:r>
            <m:rPr>
              <m:sty m:val="p"/>
            </m:rPr>
            <m:t>,</m:t>
          </m:r>
          <m:r>
            <m:t>x</m:t>
          </m:r>
          <m:r>
            <m:rPr>
              <m:sty m:val="p"/>
            </m:rPr>
            <m:t>)</m:t>
          </m:r>
          <m:r>
            <m:rPr>
              <m:sty m:val="p"/>
            </m:rPr>
            <m:t>=</m:t>
          </m:r>
          <m:sSub>
            <m:e>
              <m:r>
                <m:t>π</m:t>
              </m:r>
            </m:e>
            <m:sub>
              <m:r>
                <m:t>k</m:t>
              </m:r>
            </m:sub>
          </m:sSub>
          <m:r>
            <m:rPr>
              <m:sty m:val="p"/>
            </m:rPr>
            <m:t>(</m:t>
          </m:r>
          <m:r>
            <m:t>x</m:t>
          </m:r>
          <m:r>
            <m:rPr>
              <m:sty m:val="p"/>
            </m:rPr>
            <m:t>)</m:t>
          </m:r>
          <m:r>
            <m:rPr>
              <m:sty m:val="p"/>
            </m:rPr>
            <m:t>,</m:t>
          </m:r>
          <m:r>
            <m:t>  </m:t>
          </m:r>
          <m:nary>
            <m:naryPr>
              <m:chr m:val="∑"/>
              <m:limLoc m:val="undOvr"/>
              <m:subHide m:val="off"/>
              <m:supHide m:val="on"/>
            </m:naryPr>
            <m:sub>
              <m:r>
                <m:t>k</m:t>
              </m:r>
            </m:sub>
            <m:sup>
              <m:r>
                <m:t>​</m:t>
              </m:r>
            </m:sup>
            <m:e>
              <m:sSub>
                <m:e>
                  <m:r>
                    <m:t>π</m:t>
                  </m:r>
                </m:e>
                <m:sub>
                  <m:r>
                    <m:t>k</m:t>
                  </m:r>
                </m:sub>
              </m:sSub>
            </m:e>
          </m:nary>
          <m:r>
            <m:rPr>
              <m:sty m:val="p"/>
            </m:rPr>
            <m:t>(</m:t>
          </m:r>
          <m:r>
            <m:t>x</m:t>
          </m:r>
          <m:r>
            <m:rPr>
              <m:sty m:val="p"/>
            </m:rPr>
            <m:t>)</m:t>
          </m:r>
          <m:r>
            <m:rPr>
              <m:sty m:val="p"/>
            </m:rPr>
            <m:t>=</m:t>
          </m:r>
          <m:r>
            <m:t>1</m:t>
          </m:r>
          <m:r>
            <m:rPr>
              <m:sty m:val="p"/>
            </m:rPr>
            <m:t>.</m:t>
          </m:r>
        </m:oMath>
      </m:oMathPara>
    </w:p>
    <w:p>
      <w:pPr>
        <w:pStyle w:val="FirstParagraph"/>
      </w:pPr>
      <w:r>
        <w:t xml:space="preserve">Ein Assistenzsystem</w:t>
      </w:r>
      <w:r>
        <w:t xml:space="preserve"> </w:t>
      </w:r>
      <m:oMath>
        <m:r>
          <m:t>j</m:t>
        </m:r>
      </m:oMath>
      <w:r>
        <w:t xml:space="preserve"> </w:t>
      </w:r>
      <w:r>
        <w:t xml:space="preserve">verändert nur passende Unfalltypen:</w:t>
      </w:r>
    </w:p>
    <w:p>
      <w:pPr>
        <w:pStyle w:val="BodyText"/>
      </w:pPr>
      <m:oMathPara>
        <m:oMathParaPr>
          <m:jc m:val="center"/>
        </m:oMathParaPr>
        <m:oMath>
          <m:sSubSup>
            <m:e>
              <m:r>
                <m:t>H</m:t>
              </m:r>
            </m:e>
            <m:sub>
              <m:r>
                <m:t>k</m:t>
              </m:r>
            </m:sub>
            <m:sup>
              <m:r>
                <m:rPr>
                  <m:sty m:val="p"/>
                </m:rPr>
                <m:t>(</m:t>
              </m:r>
              <m:r>
                <m:t>j</m:t>
              </m:r>
              <m:r>
                <m:rPr>
                  <m:sty m:val="p"/>
                </m:rPr>
                <m:t>)</m:t>
              </m:r>
            </m:sup>
          </m:sSubSup>
          <m:r>
            <m:rPr>
              <m:sty m:val="p"/>
            </m:rPr>
            <m:t>=</m:t>
          </m:r>
          <m:sSub>
            <m:e>
              <m:r>
                <m:t>H</m:t>
              </m:r>
            </m:e>
            <m:sub>
              <m:r>
                <m:t>k</m:t>
              </m:r>
            </m:sub>
          </m:sSub>
          <m:r>
            <m:rPr>
              <m:sty m:val="p"/>
            </m:rPr>
            <m:t>exp</m:t>
          </m:r>
          <m:r>
            <m:rPr>
              <m:sty m:val="p"/>
            </m:rPr>
            <m:t>(</m:t>
          </m:r>
          <m:sSub>
            <m:e>
              <m:r>
                <m:t>γ</m:t>
              </m:r>
            </m:e>
            <m:sub>
              <m:r>
                <m:t>j</m:t>
              </m:r>
              <m:r>
                <m:t>k</m:t>
              </m:r>
            </m:sub>
          </m:sSub>
          <m:sSub>
            <m:e>
              <m:r>
                <m:t>z</m:t>
              </m:r>
            </m:e>
            <m:sub>
              <m:r>
                <m:t>j</m:t>
              </m:r>
            </m:sub>
          </m:sSub>
          <m:r>
            <m:rPr>
              <m:sty m:val="p"/>
            </m:rPr>
            <m:t>)</m:t>
          </m:r>
          <m:r>
            <m:rPr>
              <m:sty m:val="p"/>
            </m:rPr>
            <m:t>.</m:t>
          </m:r>
        </m:oMath>
      </m:oMathPara>
    </w:p>
    <w:p>
      <w:pPr>
        <w:pStyle w:val="FirstParagraph"/>
      </w:pPr>
      <w:r>
        <w:t xml:space="preserve">Ist</w:t>
      </w:r>
      <w:r>
        <w:t xml:space="preserve"> </w:t>
      </w:r>
      <m:oMath>
        <m:sSub>
          <m:e>
            <m:r>
              <m:t>γ</m:t>
            </m:r>
          </m:e>
          <m:sub>
            <m:r>
              <m:t>j</m:t>
            </m:r>
            <m:r>
              <m:t>k</m:t>
            </m:r>
          </m:sub>
        </m:sSub>
      </m:oMath>
      <w:r>
        <w:t xml:space="preserve"> </w:t>
      </w:r>
      <w:r>
        <w:t xml:space="preserve">nicht belegt, wird keine Wirkung angesetzt. Ein elektronisches Stabilitätsprogramm darf nicht pauschal auf alle Unfälle oder alle Endpunkte wirken.</w:t>
      </w:r>
    </w:p>
    <w:bookmarkEnd w:id="57"/>
    <w:bookmarkStart w:id="58" w:name="bedingte-verletzungsschwere"/>
    <w:p>
      <w:pPr>
        <w:pStyle w:val="Heading2"/>
      </w:pPr>
      <w:r>
        <w:rPr>
          <w:rStyle w:val="SectionNumber"/>
        </w:rPr>
        <w:t xml:space="preserve">8.5</w:t>
      </w:r>
      <w:r>
        <w:tab/>
      </w:r>
      <w:r>
        <w:t xml:space="preserve">7.5 Bedingte Verletzungsschwere</w:t>
      </w:r>
    </w:p>
    <w:p>
      <w:pPr>
        <w:pStyle w:val="FirstParagraph"/>
      </w:pPr>
      <w:r>
        <w:t xml:space="preserve">Für Unfalltyp</w:t>
      </w:r>
      <w:r>
        <w:t xml:space="preserve"> </w:t>
      </w:r>
      <m:oMath>
        <m:r>
          <m:t>k</m:t>
        </m:r>
      </m:oMath>
      <w:r>
        <w:t xml:space="preserve">, Fahrzeugmerkmale</w:t>
      </w:r>
      <w:r>
        <w:t xml:space="preserve"> </w:t>
      </w:r>
      <m:oMath>
        <m:r>
          <m:t>v</m:t>
        </m:r>
      </m:oMath>
      <w:r>
        <w:t xml:space="preserve"> </w:t>
      </w:r>
      <w:r>
        <w:t xml:space="preserve">und Insassenmerkmale</w:t>
      </w:r>
      <w:r>
        <w:t xml:space="preserve"> </w:t>
      </w:r>
      <m:oMath>
        <m:r>
          <m:t>o</m:t>
        </m:r>
      </m:oMath>
      <w:r>
        <w:t xml:space="preserve">:</w:t>
      </w:r>
    </w:p>
    <w:p>
      <w:pPr>
        <w:pStyle w:val="BodyText"/>
      </w:pPr>
      <m:oMathPara>
        <m:oMathParaPr>
          <m:jc m:val="center"/>
        </m:oMathParaPr>
        <m:oMath>
          <m:r>
            <m:t>P</m:t>
          </m:r>
          <m:r>
            <m:rPr>
              <m:sty m:val="p"/>
            </m:rPr>
            <m:t>(</m:t>
          </m:r>
          <m:r>
            <m:t>Y</m:t>
          </m:r>
          <m:r>
            <m:rPr>
              <m:sty m:val="p"/>
            </m:rPr>
            <m:t>=</m:t>
          </m:r>
          <m:r>
            <m:t>q</m:t>
          </m:r>
          <m:r>
            <m:rPr>
              <m:sty m:val="p"/>
            </m:rPr>
            <m:t>∣</m:t>
          </m:r>
          <m:r>
            <m:t>C</m:t>
          </m:r>
          <m:r>
            <m:rPr>
              <m:sty m:val="p"/>
            </m:rPr>
            <m:t>,</m:t>
          </m:r>
          <m:r>
            <m:t>K</m:t>
          </m:r>
          <m:r>
            <m:rPr>
              <m:sty m:val="p"/>
            </m:rPr>
            <m:t>=</m:t>
          </m:r>
          <m:r>
            <m:t>k</m:t>
          </m:r>
          <m:r>
            <m:rPr>
              <m:sty m:val="p"/>
            </m:rPr>
            <m:t>,</m:t>
          </m:r>
          <m:r>
            <m:t>v</m:t>
          </m:r>
          <m:r>
            <m:rPr>
              <m:sty m:val="p"/>
            </m:rPr>
            <m:t>,</m:t>
          </m:r>
          <m:r>
            <m:t>o</m:t>
          </m:r>
          <m:r>
            <m:rPr>
              <m:sty m:val="p"/>
            </m:rPr>
            <m:t>)</m:t>
          </m:r>
          <m:r>
            <m:rPr>
              <m:sty m:val="p"/>
            </m:rPr>
            <m:t>=</m:t>
          </m:r>
          <m:sSub>
            <m:e>
              <m:r>
                <m:t>π</m:t>
              </m:r>
            </m:e>
            <m:sub>
              <m:r>
                <m:t>k</m:t>
              </m:r>
              <m:r>
                <m:t>q</m:t>
              </m:r>
            </m:sub>
          </m:sSub>
          <m:r>
            <m:rPr>
              <m:sty m:val="p"/>
            </m:rPr>
            <m:t>(</m:t>
          </m:r>
          <m:r>
            <m:t>v</m:t>
          </m:r>
          <m:r>
            <m:rPr>
              <m:sty m:val="p"/>
            </m:rPr>
            <m:t>,</m:t>
          </m:r>
          <m:r>
            <m:t>o</m:t>
          </m:r>
          <m:r>
            <m:rPr>
              <m:sty m:val="p"/>
            </m:rPr>
            <m:t>)</m:t>
          </m:r>
          <m:r>
            <m:rPr>
              <m:sty m:val="p"/>
            </m:rPr>
            <m:t>.</m:t>
          </m:r>
        </m:oMath>
      </m:oMathPara>
    </w:p>
    <w:p>
      <w:pPr>
        <w:pStyle w:val="FirstParagraph"/>
      </w:pPr>
      <w:r>
        <w:t xml:space="preserve">Der Endpunkthazard ergibt sich näherungsweise aus</w:t>
      </w:r>
    </w:p>
    <w:p>
      <w:pPr>
        <w:pStyle w:val="BodyText"/>
      </w:pPr>
      <m:oMathPara>
        <m:oMathParaPr>
          <m:jc m:val="center"/>
        </m:oMathParaPr>
        <m:oMath>
          <m:sSub>
            <m:e>
              <m:r>
                <m:t>H</m:t>
              </m:r>
            </m:e>
            <m:sub>
              <m:r>
                <m:t>q</m:t>
              </m:r>
            </m:sub>
          </m:sSub>
          <m:r>
            <m:rPr>
              <m:sty m:val="p"/>
            </m:rPr>
            <m:t>=</m:t>
          </m:r>
          <m:nary>
            <m:naryPr>
              <m:chr m:val="∑"/>
              <m:limLoc m:val="undOvr"/>
              <m:subHide m:val="off"/>
              <m:supHide m:val="on"/>
            </m:naryPr>
            <m:sub>
              <m:r>
                <m:t>s</m:t>
              </m:r>
            </m:sub>
            <m:sup>
              <m:r>
                <m:t>​</m:t>
              </m:r>
            </m:sup>
            <m:e>
              <m:nary>
                <m:naryPr>
                  <m:chr m:val="∑"/>
                  <m:limLoc m:val="undOvr"/>
                  <m:subHide m:val="off"/>
                  <m:supHide m:val="on"/>
                </m:naryPr>
                <m:sub>
                  <m:r>
                    <m:t>k</m:t>
                  </m:r>
                </m:sub>
                <m:sup>
                  <m:r>
                    <m:t>​</m:t>
                  </m:r>
                </m:sup>
                <m:e>
                  <m:sSub>
                    <m:e>
                      <m:r>
                        <m:t>H</m:t>
                      </m:r>
                    </m:e>
                    <m:sub>
                      <m:r>
                        <m:t>s</m:t>
                      </m:r>
                      <m:r>
                        <m:t>k</m:t>
                      </m:r>
                    </m:sub>
                  </m:sSub>
                </m:e>
              </m:nary>
            </m:e>
          </m:nary>
          <m:sSub>
            <m:e>
              <m:r>
                <m:t>π</m:t>
              </m:r>
            </m:e>
            <m:sub>
              <m:r>
                <m:t>s</m:t>
              </m:r>
              <m:r>
                <m:t>k</m:t>
              </m:r>
              <m:r>
                <m:t>q</m:t>
              </m:r>
            </m:sub>
          </m:sSub>
          <m:r>
            <m:rPr>
              <m:sty m:val="p"/>
            </m:rPr>
            <m:t>.</m:t>
          </m:r>
        </m:oMath>
      </m:oMathPara>
    </w:p>
    <w:p>
      <w:pPr>
        <w:pStyle w:val="FirstParagraph"/>
      </w:pPr>
      <w:r>
        <w:t xml:space="preserve">Für kleine Unfallwahrscheinlichkeiten ist diese Näherung hinreichend. Bei höheren Raten wird eine exakte Compound-Poisson- oder diskrete Ereignissimulation verwendet.</w:t>
      </w:r>
    </w:p>
    <w:bookmarkEnd w:id="58"/>
    <w:bookmarkStart w:id="59" w:name="sicherheitsgurt"/>
    <w:p>
      <w:pPr>
        <w:pStyle w:val="Heading2"/>
      </w:pPr>
      <w:r>
        <w:rPr>
          <w:rStyle w:val="SectionNumber"/>
        </w:rPr>
        <w:t xml:space="preserve">8.6</w:t>
      </w:r>
      <w:r>
        <w:tab/>
      </w:r>
      <w:r>
        <w:t xml:space="preserve">7.6 Sicherheitsgurt</w:t>
      </w:r>
    </w:p>
    <w:p>
      <w:pPr>
        <w:pStyle w:val="FirstParagraph"/>
      </w:pPr>
      <w:r>
        <w:t xml:space="preserve">Der Gurt ist eine Barriere der Verletzungsfolge. Für einen endpunktspezifischen relativen Risikofaktor</w:t>
      </w:r>
      <w:r>
        <w:t xml:space="preserve"> </w:t>
      </w:r>
      <m:oMath>
        <m:r>
          <m:t>R</m:t>
        </m:r>
        <m:sSub>
          <m:e>
            <m:r>
              <m:t>R</m:t>
            </m:r>
          </m:e>
          <m:sub>
            <m:r>
              <m:rPr>
                <m:sty m:val="p"/>
              </m:rPr>
              <m:t>b</m:t>
            </m:r>
            <m:r>
              <m:rPr>
                <m:sty m:val="p"/>
              </m:rPr>
              <m:t>e</m:t>
            </m:r>
            <m:r>
              <m:rPr>
                <m:sty m:val="p"/>
              </m:rPr>
              <m:t>l</m:t>
            </m:r>
            <m:r>
              <m:rPr>
                <m:sty m:val="p"/>
              </m:rPr>
              <m:t>t</m:t>
            </m:r>
            <m:r>
              <m:rPr>
                <m:sty m:val="p"/>
              </m:rPr>
              <m:t>,</m:t>
            </m:r>
            <m:r>
              <m:t>q</m:t>
            </m:r>
          </m:sub>
        </m:sSub>
      </m:oMath>
      <w:r>
        <w:t xml:space="preserve">:</w:t>
      </w:r>
    </w:p>
    <w:p>
      <w:pPr>
        <w:pStyle w:val="BodyText"/>
      </w:pPr>
      <m:oMathPara>
        <m:oMathParaPr>
          <m:jc m:val="center"/>
        </m:oMathParaPr>
        <m:oMath>
          <m:sSubSup>
            <m:e>
              <m:r>
                <m:t>π</m:t>
              </m:r>
            </m:e>
            <m:sub>
              <m:r>
                <m:t>q</m:t>
              </m:r>
            </m:sub>
            <m:sup>
              <m:r>
                <m:rPr>
                  <m:sty m:val="p"/>
                </m:rPr>
                <m:t>b</m:t>
              </m:r>
              <m:r>
                <m:rPr>
                  <m:sty m:val="p"/>
                </m:rPr>
                <m:t>e</m:t>
              </m:r>
              <m:r>
                <m:rPr>
                  <m:sty m:val="p"/>
                </m:rPr>
                <m:t>l</m:t>
              </m:r>
              <m:r>
                <m:rPr>
                  <m:sty m:val="p"/>
                </m:rPr>
                <m:t>t</m:t>
              </m:r>
              <m:r>
                <m:rPr>
                  <m:sty m:val="p"/>
                </m:rPr>
                <m:t>e</m:t>
              </m:r>
              <m:r>
                <m:rPr>
                  <m:sty m:val="p"/>
                </m:rPr>
                <m:t>d</m:t>
              </m:r>
            </m:sup>
          </m:sSubSup>
          <m:r>
            <m:rPr>
              <m:sty m:val="p"/>
            </m:rPr>
            <m:t>∝</m:t>
          </m:r>
          <m:sSubSup>
            <m:e>
              <m:r>
                <m:t>π</m:t>
              </m:r>
            </m:e>
            <m:sub>
              <m:r>
                <m:t>q</m:t>
              </m:r>
            </m:sub>
            <m:sup>
              <m:r>
                <m:rPr>
                  <m:sty m:val="p"/>
                </m:rPr>
                <m:t>b</m:t>
              </m:r>
              <m:r>
                <m:rPr>
                  <m:sty m:val="p"/>
                </m:rPr>
                <m:t>a</m:t>
              </m:r>
              <m:r>
                <m:rPr>
                  <m:sty m:val="p"/>
                </m:rPr>
                <m:t>s</m:t>
              </m:r>
              <m:r>
                <m:rPr>
                  <m:sty m:val="p"/>
                </m:rPr>
                <m:t>e</m:t>
              </m:r>
              <m:r>
                <m:rPr>
                  <m:sty m:val="p"/>
                </m:rPr>
                <m:t>l</m:t>
              </m:r>
              <m:r>
                <m:rPr>
                  <m:sty m:val="p"/>
                </m:rPr>
                <m:t>i</m:t>
              </m:r>
              <m:r>
                <m:rPr>
                  <m:sty m:val="p"/>
                </m:rPr>
                <m:t>n</m:t>
              </m:r>
              <m:r>
                <m:rPr>
                  <m:sty m:val="p"/>
                </m:rPr>
                <m:t>e</m:t>
              </m:r>
            </m:sup>
          </m:sSubSup>
          <m:r>
            <m:t>R</m:t>
          </m:r>
          <m:sSub>
            <m:e>
              <m:r>
                <m:t>R</m:t>
              </m:r>
            </m:e>
            <m:sub>
              <m:r>
                <m:rPr>
                  <m:sty m:val="p"/>
                </m:rPr>
                <m:t>b</m:t>
              </m:r>
              <m:r>
                <m:rPr>
                  <m:sty m:val="p"/>
                </m:rPr>
                <m:t>e</m:t>
              </m:r>
              <m:r>
                <m:rPr>
                  <m:sty m:val="p"/>
                </m:rPr>
                <m:t>l</m:t>
              </m:r>
              <m:r>
                <m:rPr>
                  <m:sty m:val="p"/>
                </m:rPr>
                <m:t>t</m:t>
              </m:r>
              <m:r>
                <m:rPr>
                  <m:sty m:val="p"/>
                </m:rPr>
                <m:t>,</m:t>
              </m:r>
              <m:r>
                <m:t>q</m:t>
              </m:r>
            </m:sub>
          </m:sSub>
          <m:r>
            <m:rPr>
              <m:sty m:val="p"/>
            </m:rPr>
            <m:t>.</m:t>
          </m:r>
        </m:oMath>
      </m:oMathPara>
    </w:p>
    <w:p>
      <w:pPr>
        <w:pStyle w:val="FirstParagraph"/>
      </w:pPr>
      <w:r>
        <w:t xml:space="preserve">Anschließend muss die vollständige Endpunktverteilung renormalisiert werden:</w:t>
      </w:r>
    </w:p>
    <w:p>
      <w:pPr>
        <w:pStyle w:val="BodyText"/>
      </w:pPr>
      <m:oMathPara>
        <m:oMathParaPr>
          <m:jc m:val="center"/>
        </m:oMathParaPr>
        <m:oMath>
          <m:sSub>
            <m:e>
              <m:acc>
                <m:accPr>
                  <m:chr m:val="̃"/>
                </m:accPr>
                <m:e>
                  <m:r>
                    <m:t>π</m:t>
                  </m:r>
                </m:e>
              </m:acc>
            </m:e>
            <m:sub>
              <m:r>
                <m:t>q</m:t>
              </m:r>
            </m:sub>
          </m:sSub>
          <m:r>
            <m:rPr>
              <m:sty m:val="p"/>
            </m:rPr>
            <m:t>=</m:t>
          </m:r>
          <m:f>
            <m:fPr>
              <m:type m:val="bar"/>
            </m:fPr>
            <m:num>
              <m:sSub>
                <m:e>
                  <m:r>
                    <m:t>π</m:t>
                  </m:r>
                </m:e>
                <m:sub>
                  <m:r>
                    <m:t>q</m:t>
                  </m:r>
                </m:sub>
              </m:sSub>
              <m:r>
                <m:t>R</m:t>
              </m:r>
              <m:sSub>
                <m:e>
                  <m:r>
                    <m:t>R</m:t>
                  </m:r>
                </m:e>
                <m:sub>
                  <m:r>
                    <m:t>q</m:t>
                  </m:r>
                </m:sub>
              </m:sSub>
            </m:num>
            <m:den>
              <m:nary>
                <m:naryPr>
                  <m:chr m:val="∑"/>
                  <m:limLoc m:val="undOvr"/>
                  <m:subHide m:val="off"/>
                  <m:supHide m:val="on"/>
                </m:naryPr>
                <m:sub>
                  <m:r>
                    <m:t>ℓ</m:t>
                  </m:r>
                </m:sub>
                <m:sup>
                  <m:r>
                    <m:t>​</m:t>
                  </m:r>
                </m:sup>
                <m:e>
                  <m:sSub>
                    <m:e>
                      <m:r>
                        <m:t>π</m:t>
                      </m:r>
                    </m:e>
                    <m:sub>
                      <m:r>
                        <m:t>ℓ</m:t>
                      </m:r>
                    </m:sub>
                  </m:sSub>
                </m:e>
              </m:nary>
              <m:r>
                <m:t>R</m:t>
              </m:r>
              <m:sSub>
                <m:e>
                  <m:r>
                    <m:t>R</m:t>
                  </m:r>
                </m:e>
                <m:sub>
                  <m:r>
                    <m:t>ℓ</m:t>
                  </m:r>
                </m:sub>
              </m:sSub>
            </m:den>
          </m:f>
          <m:r>
            <m:rPr>
              <m:sty m:val="p"/>
            </m:rPr>
            <m:t>.</m:t>
          </m:r>
        </m:oMath>
      </m:oMathPara>
    </w:p>
    <w:p>
      <w:pPr>
        <w:pStyle w:val="FirstParagraph"/>
      </w:pPr>
      <w:r>
        <w:t xml:space="preserve">Diese Renormalisierung verhindert den früher beobachteten Modellfehler, bei dem die Reduktion tödlicher oder schwerer Folgen rechnerisch als Zunahme leichter Verletzungen erscheinen konnte, ohne dass ein kohärentes konkurrierendes Endpunktmodell vorlag. Ob sich die absolute Wahrscheinlichkeit leichter Verletzungen erhöht oder senkt, ist eine empirische Frage und darf nicht aus Restwahrscheinlichkeiten konstruiert werden.</w:t>
      </w:r>
    </w:p>
    <w:bookmarkEnd w:id="59"/>
    <w:bookmarkStart w:id="60" w:name="sitzposition-und-fahrzeugalter"/>
    <w:p>
      <w:pPr>
        <w:pStyle w:val="Heading2"/>
      </w:pPr>
      <w:r>
        <w:rPr>
          <w:rStyle w:val="SectionNumber"/>
        </w:rPr>
        <w:t xml:space="preserve">8.7</w:t>
      </w:r>
      <w:r>
        <w:tab/>
      </w:r>
      <w:r>
        <w:t xml:space="preserve">7.7 Sitzposition und Fahrzeugalter</w:t>
      </w:r>
    </w:p>
    <w:p>
      <w:pPr>
        <w:pStyle w:val="FirstParagraph"/>
      </w:pPr>
      <w:r>
        <w:t xml:space="preserve">Sitzposition wird zunächst als vorne oder hinten modelliert. Fahrer- und Beifahrerstatus werden nur getrennt, wenn passende Daten vorliegen. Fahrzeugalter wird in den Klassen bis 5 Jahre, 6 bis 15 Jahre und über 15 Jahre erfasst, sofern die herangezogene Studie diese Klassen verwendet. Die Übertragung von Studien aus tödlichen Unfallstichproben auf allgemeine Fahrtexposition ist selektionsanfällig und muss mit einem breiten epistemischen Intervall versehen werden.</w:t>
      </w:r>
    </w:p>
    <w:bookmarkEnd w:id="60"/>
    <w:bookmarkStart w:id="61" w:name="kilometerlinearität"/>
    <w:p>
      <w:pPr>
        <w:pStyle w:val="Heading2"/>
      </w:pPr>
      <w:r>
        <w:rPr>
          <w:rStyle w:val="SectionNumber"/>
        </w:rPr>
        <w:t xml:space="preserve">8.8</w:t>
      </w:r>
      <w:r>
        <w:tab/>
      </w:r>
      <w:r>
        <w:t xml:space="preserve">7.8 Kilometerlinearität</w:t>
      </w:r>
    </w:p>
    <w:p>
      <w:pPr>
        <w:pStyle w:val="FirstParagraph"/>
      </w:pPr>
      <w:r>
        <w:t xml:space="preserve">Der Basishazard</w:t>
      </w:r>
      <w:r>
        <w:t xml:space="preserve"> </w:t>
      </w:r>
      <m:oMath>
        <m:r>
          <m:t>H</m:t>
        </m:r>
        <m:r>
          <m:rPr>
            <m:sty m:val="p"/>
          </m:rPr>
          <m:t>=</m:t>
        </m:r>
        <m:r>
          <m:t>d</m:t>
        </m:r>
        <m:r>
          <m:t>r</m:t>
        </m:r>
      </m:oMath>
      <w:r>
        <w:t xml:space="preserve"> </w:t>
      </w:r>
      <w:r>
        <w:t xml:space="preserve">ist linear in der Strecke. Dies ist korrekt, wenn die Rate stationär ist. Nichtlinearität entsteht in RiskAI nicht durch eine willkürliche Potenz</w:t>
      </w:r>
      <w:r>
        <w:t xml:space="preserve"> </w:t>
      </w:r>
      <m:oMath>
        <m:sSup>
          <m:e>
            <m:r>
              <m:t>d</m:t>
            </m:r>
          </m:e>
          <m:sup>
            <m:r>
              <m:t>α</m:t>
            </m:r>
          </m:sup>
        </m:sSup>
      </m:oMath>
      <w:r>
        <w:t xml:space="preserve">, sondern durch:</w:t>
      </w:r>
    </w:p>
    <w:p>
      <w:pPr>
        <w:pStyle w:val="Compact"/>
        <w:numPr>
          <w:ilvl w:val="0"/>
          <w:numId w:val="1006"/>
        </w:numPr>
      </w:pPr>
      <w:r>
        <w:t xml:space="preserve">die Transformation</w:t>
      </w:r>
      <w:r>
        <w:t xml:space="preserve"> </w:t>
      </w:r>
      <m:oMath>
        <m:r>
          <m:t>P</m:t>
        </m:r>
        <m:r>
          <m:rPr>
            <m:sty m:val="p"/>
          </m:rPr>
          <m:t>=</m:t>
        </m:r>
        <m:r>
          <m:t>1</m:t>
        </m:r>
        <m:r>
          <m:rPr>
            <m:sty m:val="p"/>
          </m:rPr>
          <m:t>−</m:t>
        </m:r>
        <m:sSup>
          <m:e>
            <m:r>
              <m:t>e</m:t>
            </m:r>
          </m:e>
          <m:sup>
            <m:r>
              <m:rPr>
                <m:sty m:val="p"/>
              </m:rPr>
              <m:t>−</m:t>
            </m:r>
            <m:r>
              <m:t>H</m:t>
            </m:r>
          </m:sup>
        </m:sSup>
      </m:oMath>
      <w:r>
        <w:t xml:space="preserve">,</w:t>
      </w:r>
    </w:p>
    <w:p>
      <w:pPr>
        <w:pStyle w:val="Compact"/>
        <w:numPr>
          <w:ilvl w:val="0"/>
          <w:numId w:val="1006"/>
        </w:numPr>
      </w:pPr>
      <w:r>
        <w:t xml:space="preserve">wechselnde Segmentraten,</w:t>
      </w:r>
    </w:p>
    <w:p>
      <w:pPr>
        <w:pStyle w:val="Compact"/>
        <w:numPr>
          <w:ilvl w:val="0"/>
          <w:numId w:val="1006"/>
        </w:numPr>
      </w:pPr>
      <w:r>
        <w:t xml:space="preserve">Zeit- und Kontextmerkmale,</w:t>
      </w:r>
    </w:p>
    <w:p>
      <w:pPr>
        <w:pStyle w:val="Compact"/>
        <w:numPr>
          <w:ilvl w:val="0"/>
          <w:numId w:val="1006"/>
        </w:numPr>
      </w:pPr>
      <w:r>
        <w:t xml:space="preserve">Korrelationen innerhalb einer Fahrt,</w:t>
      </w:r>
    </w:p>
    <w:p>
      <w:pPr>
        <w:pStyle w:val="Compact"/>
        <w:numPr>
          <w:ilvl w:val="0"/>
          <w:numId w:val="1006"/>
        </w:numPr>
      </w:pPr>
      <w:r>
        <w:t xml:space="preserve">Ermüdung oder andere zeitabhängige Kovariaten, sofern empirisch belegt.</w:t>
      </w:r>
    </w:p>
    <w:p>
      <w:pPr>
        <w:pStyle w:val="FirstParagraph"/>
      </w:pPr>
      <w:r>
        <w:t xml:space="preserve">Ein Ermüdungsmodell könnte etwa</w:t>
      </w:r>
    </w:p>
    <w:p>
      <w:pPr>
        <w:pStyle w:val="BodyText"/>
      </w:pPr>
      <m:oMathPara>
        <m:oMathParaPr>
          <m:jc m:val="center"/>
        </m:oMathParaPr>
        <m:oMath>
          <m:r>
            <m:rPr>
              <m:sty m:val="p"/>
            </m:rPr>
            <m:t>log</m:t>
          </m:r>
          <m:r>
            <m:t>r</m:t>
          </m:r>
          <m:r>
            <m:rPr>
              <m:sty m:val="p"/>
            </m:rPr>
            <m:t>(</m:t>
          </m:r>
          <m:r>
            <m:t>t</m:t>
          </m:r>
          <m:r>
            <m:rPr>
              <m:sty m:val="p"/>
            </m:rPr>
            <m:t>)</m:t>
          </m:r>
          <m:r>
            <m:rPr>
              <m:sty m:val="p"/>
            </m:rPr>
            <m:t>=</m:t>
          </m:r>
          <m:sSub>
            <m:e>
              <m:r>
                <m:t>β</m:t>
              </m:r>
            </m:e>
            <m:sub>
              <m:r>
                <m:t>0</m:t>
              </m:r>
            </m:sub>
          </m:sSub>
          <m:r>
            <m:rPr>
              <m:sty m:val="p"/>
            </m:rPr>
            <m:t>+</m:t>
          </m:r>
          <m:sSub>
            <m:e>
              <m:r>
                <m:t>f</m:t>
              </m:r>
            </m:e>
            <m:sub>
              <m:r>
                <m:rPr>
                  <m:sty m:val="p"/>
                </m:rPr>
                <m:t>f</m:t>
              </m:r>
              <m:r>
                <m:rPr>
                  <m:sty m:val="p"/>
                </m:rPr>
                <m:t>a</m:t>
              </m:r>
              <m:r>
                <m:rPr>
                  <m:sty m:val="p"/>
                </m:rPr>
                <m:t>t</m:t>
              </m:r>
              <m:r>
                <m:rPr>
                  <m:sty m:val="p"/>
                </m:rPr>
                <m:t>i</m:t>
              </m:r>
              <m:r>
                <m:rPr>
                  <m:sty m:val="p"/>
                </m:rPr>
                <m:t>g</m:t>
              </m:r>
              <m:r>
                <m:rPr>
                  <m:sty m:val="p"/>
                </m:rPr>
                <m:t>u</m:t>
              </m:r>
              <m:r>
                <m:rPr>
                  <m:sty m:val="p"/>
                </m:rPr>
                <m:t>e</m:t>
              </m:r>
            </m:sub>
          </m:sSub>
          <m:r>
            <m:rPr>
              <m:sty m:val="p"/>
            </m:rPr>
            <m:t>(</m:t>
          </m:r>
          <m:r>
            <m:t>t</m:t>
          </m:r>
          <m:r>
            <m:rPr>
              <m:sty m:val="p"/>
            </m:rPr>
            <m:t>)</m:t>
          </m:r>
          <m:r>
            <m:rPr>
              <m:sty m:val="p"/>
            </m:rPr>
            <m:t>,</m:t>
          </m:r>
        </m:oMath>
      </m:oMathPara>
    </w:p>
    <w:p>
      <w:pPr>
        <w:pStyle w:val="FirstParagraph"/>
      </w:pPr>
      <w:r>
        <w:t xml:space="preserve">verwenden. Die Funktion</w:t>
      </w:r>
      <w:r>
        <w:t xml:space="preserve"> </w:t>
      </w:r>
      <m:oMath>
        <m:sSub>
          <m:e>
            <m:r>
              <m:t>f</m:t>
            </m:r>
          </m:e>
          <m:sub>
            <m:r>
              <m:rPr>
                <m:sty m:val="p"/>
              </m:rPr>
              <m:t>f</m:t>
            </m:r>
            <m:r>
              <m:rPr>
                <m:sty m:val="p"/>
              </m:rPr>
              <m:t>a</m:t>
            </m:r>
            <m:r>
              <m:rPr>
                <m:sty m:val="p"/>
              </m:rPr>
              <m:t>t</m:t>
            </m:r>
            <m:r>
              <m:rPr>
                <m:sty m:val="p"/>
              </m:rPr>
              <m:t>i</m:t>
            </m:r>
            <m:r>
              <m:rPr>
                <m:sty m:val="p"/>
              </m:rPr>
              <m:t>g</m:t>
            </m:r>
            <m:r>
              <m:rPr>
                <m:sty m:val="p"/>
              </m:rPr>
              <m:t>u</m:t>
            </m:r>
            <m:r>
              <m:rPr>
                <m:sty m:val="p"/>
              </m:rPr>
              <m:t>e</m:t>
            </m:r>
          </m:sub>
        </m:sSub>
      </m:oMath>
      <w:r>
        <w:t xml:space="preserve"> </w:t>
      </w:r>
      <w:r>
        <w:t xml:space="preserve">muss aus belastbaren Daten geschätzt werden.</w:t>
      </w:r>
    </w:p>
    <w:bookmarkEnd w:id="61"/>
    <w:bookmarkEnd w:id="62"/>
    <w:bookmarkStart w:id="68" w:name="Xdecc3490e30117d577062e4d95e75a157fc63db"/>
    <w:p>
      <w:pPr>
        <w:pStyle w:val="Heading1"/>
      </w:pPr>
      <w:r>
        <w:rPr>
          <w:rStyle w:val="SectionNumber"/>
        </w:rPr>
        <w:t xml:space="preserve">9</w:t>
      </w:r>
      <w:r>
        <w:tab/>
      </w:r>
      <w:r>
        <w:t xml:space="preserve">8. Aktuarielle Frequenz-, Schwere- und Verlustmodelle</w:t>
      </w:r>
    </w:p>
    <w:bookmarkStart w:id="63" w:name="frequenz"/>
    <w:p>
      <w:pPr>
        <w:pStyle w:val="Heading2"/>
      </w:pPr>
      <w:r>
        <w:rPr>
          <w:rStyle w:val="SectionNumber"/>
        </w:rPr>
        <w:t xml:space="preserve">9.1</w:t>
      </w:r>
      <w:r>
        <w:tab/>
      </w:r>
      <w:r>
        <w:t xml:space="preserve">8.1 Frequenz</w:t>
      </w:r>
    </w:p>
    <w:p>
      <w:pPr>
        <w:pStyle w:val="FirstParagraph"/>
      </w:pPr>
      <w:r>
        <w:t xml:space="preserve">Für Vertrag, Person oder Expositionseinheit</w:t>
      </w:r>
      <w:r>
        <w:t xml:space="preserve"> </w:t>
      </w:r>
      <m:oMath>
        <m:r>
          <m:t>i</m:t>
        </m:r>
      </m:oMath>
      <w:r>
        <w:t xml:space="preserve"> </w:t>
      </w:r>
      <w:r>
        <w:t xml:space="preserve">und Endpunkt</w:t>
      </w:r>
      <w:r>
        <w:t xml:space="preserve"> </w:t>
      </w:r>
      <m:oMath>
        <m:r>
          <m:t>q</m:t>
        </m:r>
      </m:oMath>
      <w:r>
        <w:t xml:space="preserve">:</w:t>
      </w:r>
    </w:p>
    <w:p>
      <w:pPr>
        <w:pStyle w:val="BodyText"/>
      </w:pPr>
      <m:oMathPara>
        <m:oMathParaPr>
          <m:jc m:val="center"/>
        </m:oMathParaPr>
        <m:oMath>
          <m:sSub>
            <m:e>
              <m:r>
                <m:t>N</m:t>
              </m:r>
            </m:e>
            <m:sub>
              <m:r>
                <m:t>i</m:t>
              </m:r>
              <m:r>
                <m:t>q</m:t>
              </m:r>
            </m:sub>
          </m:sSub>
          <m:r>
            <m:rPr>
              <m:sty m:val="p"/>
            </m:rPr>
            <m:t>∼</m:t>
          </m:r>
          <m:r>
            <m:rPr>
              <m:sty m:val="p"/>
            </m:rPr>
            <m:t>NegBin</m:t>
          </m:r>
          <m:r>
            <m:rPr>
              <m:sty m:val="p"/>
            </m:rPr>
            <m:t>(</m:t>
          </m:r>
          <m:sSub>
            <m:e>
              <m:r>
                <m:t>μ</m:t>
              </m:r>
            </m:e>
            <m:sub>
              <m:r>
                <m:t>i</m:t>
              </m:r>
              <m:r>
                <m:t>q</m:t>
              </m:r>
            </m:sub>
          </m:sSub>
          <m:r>
            <m:rPr>
              <m:sty m:val="p"/>
            </m:rPr>
            <m:t>,</m:t>
          </m:r>
          <m:sSub>
            <m:e>
              <m:r>
                <m:t>ϕ</m:t>
              </m:r>
            </m:e>
            <m:sub>
              <m:r>
                <m:t>q</m:t>
              </m:r>
            </m:sub>
          </m:sSub>
          <m:r>
            <m:rPr>
              <m:sty m:val="p"/>
            </m:rPr>
            <m:t>)</m:t>
          </m:r>
          <m:r>
            <m:rPr>
              <m:sty m:val="p"/>
            </m:rPr>
            <m:t>,</m:t>
          </m:r>
        </m:oMath>
      </m:oMathPara>
    </w:p>
    <w:p>
      <w:pPr>
        <w:pStyle w:val="FirstParagraph"/>
      </w:pPr>
      <m:oMathPara>
        <m:oMathParaPr>
          <m:jc m:val="center"/>
        </m:oMathParaPr>
        <m:oMath>
          <m:r>
            <m:rPr>
              <m:sty m:val="p"/>
            </m:rPr>
            <m:t>log</m:t>
          </m:r>
          <m:sSub>
            <m:e>
              <m:r>
                <m:t>μ</m:t>
              </m:r>
            </m:e>
            <m:sub>
              <m:r>
                <m:t>i</m:t>
              </m:r>
              <m:r>
                <m:t>q</m:t>
              </m:r>
            </m:sub>
          </m:sSub>
          <m:r>
            <m:rPr>
              <m:sty m:val="p"/>
            </m:rPr>
            <m:t>=</m:t>
          </m:r>
          <m:r>
            <m:rPr>
              <m:sty m:val="p"/>
            </m:rPr>
            <m:t>log</m:t>
          </m:r>
          <m:sSub>
            <m:e>
              <m:r>
                <m:t>E</m:t>
              </m:r>
            </m:e>
            <m:sub>
              <m:r>
                <m:t>i</m:t>
              </m:r>
            </m:sub>
          </m:sSub>
          <m:r>
            <m:rPr>
              <m:sty m:val="p"/>
            </m:rPr>
            <m:t>+</m:t>
          </m:r>
          <m:sSub>
            <m:e>
              <m:r>
                <m:t>β</m:t>
              </m:r>
            </m:e>
            <m:sub>
              <m:r>
                <m:t>0</m:t>
              </m:r>
              <m:r>
                <m:t>q</m:t>
              </m:r>
            </m:sub>
          </m:sSub>
          <m:r>
            <m:rPr>
              <m:sty m:val="p"/>
            </m:rPr>
            <m:t>+</m:t>
          </m:r>
          <m:sSubSup>
            <m:e>
              <m:r>
                <m:t>x</m:t>
              </m:r>
            </m:e>
            <m:sub>
              <m:r>
                <m:t>i</m:t>
              </m:r>
            </m:sub>
            <m:sup>
              <m:r>
                <m:rPr>
                  <m:sty m:val="p"/>
                </m:rPr>
                <m:t>⊤</m:t>
              </m:r>
            </m:sup>
          </m:sSubSup>
          <m:sSub>
            <m:e>
              <m:r>
                <m:t>β</m:t>
              </m:r>
            </m:e>
            <m:sub>
              <m:r>
                <m:t>q</m:t>
              </m:r>
            </m:sub>
          </m:sSub>
          <m:r>
            <m:rPr>
              <m:sty m:val="p"/>
            </m:rPr>
            <m:t>+</m:t>
          </m:r>
          <m:sSub>
            <m:e>
              <m:r>
                <m:t>u</m:t>
              </m:r>
            </m:e>
            <m:sub>
              <m:r>
                <m:rPr>
                  <m:sty m:val="p"/>
                </m:rPr>
                <m:t>r</m:t>
              </m:r>
              <m:r>
                <m:rPr>
                  <m:sty m:val="p"/>
                </m:rPr>
                <m:t>e</m:t>
              </m:r>
              <m:r>
                <m:rPr>
                  <m:sty m:val="p"/>
                </m:rPr>
                <m:t>g</m:t>
              </m:r>
              <m:r>
                <m:rPr>
                  <m:sty m:val="p"/>
                </m:rPr>
                <m:t>i</m:t>
              </m:r>
              <m:r>
                <m:rPr>
                  <m:sty m:val="p"/>
                </m:rPr>
                <m:t>o</m:t>
              </m:r>
              <m:r>
                <m:rPr>
                  <m:sty m:val="p"/>
                </m:rPr>
                <m:t>n</m:t>
              </m:r>
              <m:r>
                <m:rPr>
                  <m:sty m:val="p"/>
                </m:rPr>
                <m:t>(</m:t>
              </m:r>
              <m:r>
                <m:t>i</m:t>
              </m:r>
              <m:r>
                <m:rPr>
                  <m:sty m:val="p"/>
                </m:rPr>
                <m:t>)</m:t>
              </m:r>
              <m:r>
                <m:rPr>
                  <m:sty m:val="p"/>
                </m:rPr>
                <m:t>,</m:t>
              </m:r>
              <m:r>
                <m:t>q</m:t>
              </m:r>
            </m:sub>
          </m:sSub>
          <m:r>
            <m:rPr>
              <m:sty m:val="p"/>
            </m:rPr>
            <m:t>+</m:t>
          </m:r>
          <m:sSub>
            <m:e>
              <m:r>
                <m:t>u</m:t>
              </m:r>
            </m:e>
            <m:sub>
              <m:r>
                <m:rPr>
                  <m:sty m:val="p"/>
                </m:rPr>
                <m:t>c</m:t>
              </m:r>
              <m:r>
                <m:rPr>
                  <m:sty m:val="p"/>
                </m:rPr>
                <m:t>l</m:t>
              </m:r>
              <m:r>
                <m:rPr>
                  <m:sty m:val="p"/>
                </m:rPr>
                <m:t>a</m:t>
              </m:r>
              <m:r>
                <m:rPr>
                  <m:sty m:val="p"/>
                </m:rPr>
                <m:t>s</m:t>
              </m:r>
              <m:r>
                <m:rPr>
                  <m:sty m:val="p"/>
                </m:rPr>
                <m:t>s</m:t>
              </m:r>
              <m:r>
                <m:rPr>
                  <m:sty m:val="p"/>
                </m:rPr>
                <m:t>(</m:t>
              </m:r>
              <m:r>
                <m:t>i</m:t>
              </m:r>
              <m:r>
                <m:rPr>
                  <m:sty m:val="p"/>
                </m:rPr>
                <m:t>)</m:t>
              </m:r>
              <m:r>
                <m:rPr>
                  <m:sty m:val="p"/>
                </m:rPr>
                <m:t>,</m:t>
              </m:r>
              <m:r>
                <m:t>q</m:t>
              </m:r>
            </m:sub>
          </m:sSub>
          <m:r>
            <m:rPr>
              <m:sty m:val="p"/>
            </m:rPr>
            <m:t>.</m:t>
          </m:r>
        </m:oMath>
      </m:oMathPara>
    </w:p>
    <w:p>
      <w:pPr>
        <w:pStyle w:val="FirstParagraph"/>
      </w:pPr>
      <w:r>
        <w:t xml:space="preserve">Die Zufallseffekte ermöglichen Partial Pooling zwischen Regionen oder Klassen.</w:t>
      </w:r>
    </w:p>
    <w:bookmarkEnd w:id="63"/>
    <w:bookmarkStart w:id="64" w:name="schweregrad"/>
    <w:p>
      <w:pPr>
        <w:pStyle w:val="Heading2"/>
      </w:pPr>
      <w:r>
        <w:rPr>
          <w:rStyle w:val="SectionNumber"/>
        </w:rPr>
        <w:t xml:space="preserve">9.2</w:t>
      </w:r>
      <w:r>
        <w:tab/>
      </w:r>
      <w:r>
        <w:t xml:space="preserve">8.2 Schweregrad</w:t>
      </w:r>
    </w:p>
    <w:p>
      <w:pPr>
        <w:pStyle w:val="FirstParagraph"/>
      </w:pPr>
      <w:r>
        <w:t xml:space="preserve">Für monetäre Schadenhöhe</w:t>
      </w:r>
      <w:r>
        <w:t xml:space="preserve"> </w:t>
      </w:r>
      <m:oMath>
        <m:r>
          <m:t>Y</m:t>
        </m:r>
        <m:r>
          <m:rPr>
            <m:sty m:val="p"/>
          </m:rPr>
          <m:t>&gt;</m:t>
        </m:r>
        <m:r>
          <m:t>0</m:t>
        </m:r>
      </m:oMath>
      <w:r>
        <w:t xml:space="preserve"> </w:t>
      </w:r>
      <w:r>
        <w:t xml:space="preserve">sind Gamma- und Lognormalmodelle Kandidaten:</w:t>
      </w:r>
    </w:p>
    <w:p>
      <w:pPr>
        <w:pStyle w:val="BodyText"/>
      </w:pPr>
      <m:oMathPara>
        <m:oMathParaPr>
          <m:jc m:val="center"/>
        </m:oMathParaPr>
        <m:oMath>
          <m:sSub>
            <m:e>
              <m:r>
                <m:t>Y</m:t>
              </m:r>
            </m:e>
            <m:sub>
              <m:r>
                <m:t>i</m:t>
              </m:r>
            </m:sub>
          </m:sSub>
          <m:r>
            <m:rPr>
              <m:sty m:val="p"/>
            </m:rPr>
            <m:t>∼</m:t>
          </m:r>
          <m:r>
            <m:rPr>
              <m:sty m:val="p"/>
            </m:rPr>
            <m:t>Gamma</m:t>
          </m:r>
          <m:r>
            <m:rPr>
              <m:sty m:val="p"/>
            </m:rPr>
            <m:t>(</m:t>
          </m:r>
          <m:sSub>
            <m:e>
              <m:r>
                <m:t>ν</m:t>
              </m:r>
            </m:e>
            <m:sub>
              <m:r>
                <m:t>i</m:t>
              </m:r>
            </m:sub>
          </m:sSub>
          <m:r>
            <m:rPr>
              <m:sty m:val="p"/>
            </m:rPr>
            <m:t>,</m:t>
          </m:r>
          <m:r>
            <m:t>κ</m:t>
          </m:r>
          <m:r>
            <m:rPr>
              <m:sty m:val="p"/>
            </m:rPr>
            <m:t>)</m:t>
          </m:r>
          <m:r>
            <m:rPr>
              <m:sty m:val="p"/>
            </m:rPr>
            <m:t>,</m:t>
          </m:r>
          <m:r>
            <m:t>  </m:t>
          </m:r>
          <m:r>
            <m:rPr>
              <m:sty m:val="p"/>
            </m:rPr>
            <m:t>log</m:t>
          </m:r>
          <m:r>
            <m:rPr>
              <m:scr m:val="double-struck"/>
              <m:sty m:val="p"/>
            </m:rPr>
            <m:t>E</m:t>
          </m:r>
          <m:r>
            <m:rPr>
              <m:sty m:val="p"/>
            </m:rPr>
            <m:t>[</m:t>
          </m:r>
          <m:sSub>
            <m:e>
              <m:r>
                <m:t>Y</m:t>
              </m:r>
            </m:e>
            <m:sub>
              <m:r>
                <m:t>i</m:t>
              </m:r>
            </m:sub>
          </m:sSub>
          <m:r>
            <m:rPr>
              <m:sty m:val="p"/>
            </m:rPr>
            <m:t>]</m:t>
          </m:r>
          <m:r>
            <m:rPr>
              <m:sty m:val="p"/>
            </m:rPr>
            <m:t>=</m:t>
          </m:r>
          <m:sSubSup>
            <m:e>
              <m:r>
                <m:t>z</m:t>
              </m:r>
            </m:e>
            <m:sub>
              <m:r>
                <m:t>i</m:t>
              </m:r>
            </m:sub>
            <m:sup>
              <m:r>
                <m:rPr>
                  <m:sty m:val="p"/>
                </m:rPr>
                <m:t>⊤</m:t>
              </m:r>
            </m:sup>
          </m:sSubSup>
          <m:r>
            <m:t>δ</m:t>
          </m:r>
          <m:r>
            <m:rPr>
              <m:sty m:val="p"/>
            </m:rPr>
            <m:t>,</m:t>
          </m:r>
        </m:oMath>
      </m:oMathPara>
    </w:p>
    <w:p>
      <w:pPr>
        <w:pStyle w:val="FirstParagraph"/>
      </w:pPr>
      <w:r>
        <w:t xml:space="preserve">oder</w:t>
      </w:r>
    </w:p>
    <w:p>
      <w:pPr>
        <w:pStyle w:val="BodyText"/>
      </w:pPr>
      <m:oMathPara>
        <m:oMathParaPr>
          <m:jc m:val="center"/>
        </m:oMathParaPr>
        <m:oMath>
          <m:r>
            <m:rPr>
              <m:sty m:val="p"/>
            </m:rPr>
            <m:t>log</m:t>
          </m:r>
          <m:sSub>
            <m:e>
              <m:r>
                <m:t>Y</m:t>
              </m:r>
            </m:e>
            <m:sub>
              <m:r>
                <m:t>i</m:t>
              </m:r>
            </m:sub>
          </m:sSub>
          <m:r>
            <m:rPr>
              <m:sty m:val="p"/>
            </m:rPr>
            <m:t>∼</m:t>
          </m:r>
          <m:r>
            <m:rPr>
              <m:scr m:val="script"/>
              <m:sty m:val="p"/>
            </m:rPr>
            <m:t>N</m:t>
          </m:r>
          <m:r>
            <m:rPr>
              <m:sty m:val="p"/>
            </m:rPr>
            <m:t>(</m:t>
          </m:r>
          <m:sSubSup>
            <m:e>
              <m:r>
                <m:t>z</m:t>
              </m:r>
            </m:e>
            <m:sub>
              <m:r>
                <m:t>i</m:t>
              </m:r>
            </m:sub>
            <m:sup>
              <m:r>
                <m:rPr>
                  <m:sty m:val="p"/>
                </m:rPr>
                <m:t>⊤</m:t>
              </m:r>
            </m:sup>
          </m:sSubSup>
          <m:r>
            <m:t>δ</m:t>
          </m:r>
          <m:r>
            <m:rPr>
              <m:sty m:val="p"/>
            </m:rPr>
            <m:t>,</m:t>
          </m:r>
          <m:sSup>
            <m:e>
              <m:r>
                <m:t>σ</m:t>
              </m:r>
            </m:e>
            <m:sup>
              <m:r>
                <m:t>2</m:t>
              </m:r>
            </m:sup>
          </m:sSup>
          <m:r>
            <m:rPr>
              <m:sty m:val="p"/>
            </m:rPr>
            <m:t>)</m:t>
          </m:r>
          <m:r>
            <m:rPr>
              <m:sty m:val="p"/>
            </m:rPr>
            <m:t>.</m:t>
          </m:r>
        </m:oMath>
      </m:oMathPara>
    </w:p>
    <w:p>
      <w:pPr>
        <w:pStyle w:val="FirstParagraph"/>
      </w:pPr>
      <w:r>
        <w:t xml:space="preserve">Modellwahl erfolgt anhand von Verteilungsdiagnostik, Ausreißern, Zensierung, Trunkierung und Out-of-sample-Prognose.</w:t>
      </w:r>
    </w:p>
    <w:bookmarkEnd w:id="64"/>
    <w:bookmarkStart w:id="65" w:name="compound-modell"/>
    <w:p>
      <w:pPr>
        <w:pStyle w:val="Heading2"/>
      </w:pPr>
      <w:r>
        <w:rPr>
          <w:rStyle w:val="SectionNumber"/>
        </w:rPr>
        <w:t xml:space="preserve">9.3</w:t>
      </w:r>
      <w:r>
        <w:tab/>
      </w:r>
      <w:r>
        <w:t xml:space="preserve">8.3 Compound-Modell</w:t>
      </w:r>
    </w:p>
    <w:p>
      <w:pPr>
        <w:pStyle w:val="FirstParagraph"/>
      </w:pPr>
      <w:r>
        <w:t xml:space="preserve">Sind Frequenz und Schwere bedingt unabhängig,</w:t>
      </w:r>
    </w:p>
    <w:p>
      <w:pPr>
        <w:pStyle w:val="BodyText"/>
      </w:pPr>
      <m:oMathPara>
        <m:oMathParaPr>
          <m:jc m:val="center"/>
        </m:oMathParaPr>
        <m:oMath>
          <m:sSub>
            <m:e>
              <m:r>
                <m:t>L</m:t>
              </m:r>
            </m:e>
            <m:sub>
              <m:r>
                <m:t>i</m:t>
              </m:r>
            </m:sub>
          </m:sSub>
          <m:r>
            <m:rPr>
              <m:sty m:val="p"/>
            </m:rPr>
            <m:t>=</m:t>
          </m:r>
          <m:nary>
            <m:naryPr>
              <m:chr m:val="∑"/>
              <m:limLoc m:val="undOvr"/>
              <m:subHide m:val="off"/>
              <m:supHide m:val="off"/>
            </m:naryPr>
            <m:sub>
              <m:r>
                <m:t>j</m:t>
              </m:r>
              <m:r>
                <m:rPr>
                  <m:sty m:val="p"/>
                </m:rPr>
                <m:t>=</m:t>
              </m:r>
              <m:r>
                <m:t>1</m:t>
              </m:r>
            </m:sub>
            <m:sup>
              <m:sSub>
                <m:e>
                  <m:r>
                    <m:t>N</m:t>
                  </m:r>
                </m:e>
                <m:sub>
                  <m:r>
                    <m:t>i</m:t>
                  </m:r>
                </m:sub>
              </m:sSub>
            </m:sup>
            <m:e>
              <m:sSub>
                <m:e>
                  <m:r>
                    <m:t>Y</m:t>
                  </m:r>
                </m:e>
                <m:sub>
                  <m:r>
                    <m:t>i</m:t>
                  </m:r>
                  <m:r>
                    <m:t>j</m:t>
                  </m:r>
                </m:sub>
              </m:sSub>
            </m:e>
          </m:nary>
          <m:r>
            <m:rPr>
              <m:sty m:val="p"/>
            </m:rPr>
            <m:t>.</m:t>
          </m:r>
        </m:oMath>
      </m:oMathPara>
    </w:p>
    <w:p>
      <w:pPr>
        <w:pStyle w:val="FirstParagraph"/>
      </w:pPr>
      <w:r>
        <w:t xml:space="preserve">Dann gilt</w:t>
      </w:r>
    </w:p>
    <w:p>
      <w:pPr>
        <w:pStyle w:val="BodyText"/>
      </w:pPr>
      <m:oMathPara>
        <m:oMathParaPr>
          <m:jc m:val="center"/>
        </m:oMathParaPr>
        <m:oMath>
          <m:r>
            <m:rPr>
              <m:scr m:val="double-struck"/>
              <m:sty m:val="p"/>
            </m:rPr>
            <m:t>E</m:t>
          </m:r>
          <m:r>
            <m:rPr>
              <m:sty m:val="p"/>
            </m:rPr>
            <m:t>[</m:t>
          </m:r>
          <m:sSub>
            <m:e>
              <m:r>
                <m:t>L</m:t>
              </m:r>
            </m:e>
            <m:sub>
              <m:r>
                <m:t>i</m:t>
              </m:r>
            </m:sub>
          </m:sSub>
          <m:r>
            <m:rPr>
              <m:sty m:val="p"/>
            </m:rPr>
            <m:t>]</m:t>
          </m:r>
          <m:r>
            <m:rPr>
              <m:sty m:val="p"/>
            </m:rPr>
            <m:t>=</m:t>
          </m:r>
          <m:r>
            <m:rPr>
              <m:scr m:val="double-struck"/>
              <m:sty m:val="p"/>
            </m:rPr>
            <m:t>E</m:t>
          </m:r>
          <m:r>
            <m:rPr>
              <m:sty m:val="p"/>
            </m:rPr>
            <m:t>[</m:t>
          </m:r>
          <m:sSub>
            <m:e>
              <m:r>
                <m:t>N</m:t>
              </m:r>
            </m:e>
            <m:sub>
              <m:r>
                <m:t>i</m:t>
              </m:r>
            </m:sub>
          </m:sSub>
          <m:r>
            <m:rPr>
              <m:sty m:val="p"/>
            </m:rPr>
            <m:t>]</m:t>
          </m:r>
          <m:r>
            <m:rPr>
              <m:scr m:val="double-struck"/>
              <m:sty m:val="p"/>
            </m:rPr>
            <m:t>E</m:t>
          </m:r>
          <m:r>
            <m:rPr>
              <m:sty m:val="p"/>
            </m:rPr>
            <m:t>[</m:t>
          </m:r>
          <m:sSub>
            <m:e>
              <m:r>
                <m:t>Y</m:t>
              </m:r>
            </m:e>
            <m:sub>
              <m:r>
                <m:t>i</m:t>
              </m:r>
            </m:sub>
          </m:sSub>
          <m:r>
            <m:rPr>
              <m:sty m:val="p"/>
            </m:rPr>
            <m:t>]</m:t>
          </m:r>
          <m:r>
            <m:rPr>
              <m:sty m:val="p"/>
            </m:rPr>
            <m:t>,</m:t>
          </m:r>
        </m:oMath>
      </m:oMathPara>
    </w:p>
    <w:p>
      <w:pPr>
        <w:pStyle w:val="FirstParagraph"/>
      </w:pPr>
      <w:r>
        <w:t xml:space="preserve">und</w:t>
      </w:r>
    </w:p>
    <w:p>
      <w:pPr>
        <w:pStyle w:val="BodyText"/>
      </w:pPr>
      <m:oMathPara>
        <m:oMathParaPr>
          <m:jc m:val="center"/>
        </m:oMathParaPr>
        <m:oMath>
          <m:r>
            <m:rPr>
              <m:sty m:val="p"/>
            </m:rPr>
            <m:t>Var</m:t>
          </m:r>
          <m:r>
            <m:rPr>
              <m:sty m:val="p"/>
            </m:rPr>
            <m:t>(</m:t>
          </m:r>
          <m:sSub>
            <m:e>
              <m:r>
                <m:t>L</m:t>
              </m:r>
            </m:e>
            <m:sub>
              <m:r>
                <m:t>i</m:t>
              </m:r>
            </m:sub>
          </m:sSub>
          <m:r>
            <m:rPr>
              <m:sty m:val="p"/>
            </m:rPr>
            <m:t>)</m:t>
          </m:r>
          <m:r>
            <m:rPr>
              <m:sty m:val="p"/>
            </m:rPr>
            <m:t>=</m:t>
          </m:r>
          <m:r>
            <m:rPr>
              <m:scr m:val="double-struck"/>
              <m:sty m:val="p"/>
            </m:rPr>
            <m:t>E</m:t>
          </m:r>
          <m:r>
            <m:rPr>
              <m:sty m:val="p"/>
            </m:rPr>
            <m:t>[</m:t>
          </m:r>
          <m:sSub>
            <m:e>
              <m:r>
                <m:t>N</m:t>
              </m:r>
            </m:e>
            <m:sub>
              <m:r>
                <m:t>i</m:t>
              </m:r>
            </m:sub>
          </m:sSub>
          <m:r>
            <m:rPr>
              <m:sty m:val="p"/>
            </m:rPr>
            <m:t>]</m:t>
          </m:r>
          <m:r>
            <m:rPr>
              <m:sty m:val="p"/>
            </m:rPr>
            <m:t>Var</m:t>
          </m:r>
          <m:r>
            <m:rPr>
              <m:sty m:val="p"/>
            </m:rPr>
            <m:t>(</m:t>
          </m:r>
          <m:sSub>
            <m:e>
              <m:r>
                <m:t>Y</m:t>
              </m:r>
            </m:e>
            <m:sub>
              <m:r>
                <m:t>i</m:t>
              </m:r>
            </m:sub>
          </m:sSub>
          <m:r>
            <m:rPr>
              <m:sty m:val="p"/>
            </m:rPr>
            <m:t>)</m:t>
          </m:r>
          <m:r>
            <m:rPr>
              <m:sty m:val="p"/>
            </m:rPr>
            <m:t>+</m:t>
          </m:r>
          <m:r>
            <m:rPr>
              <m:sty m:val="p"/>
            </m:rPr>
            <m:t>Var</m:t>
          </m:r>
          <m:r>
            <m:rPr>
              <m:sty m:val="p"/>
            </m:rPr>
            <m:t>(</m:t>
          </m:r>
          <m:sSub>
            <m:e>
              <m:r>
                <m:t>N</m:t>
              </m:r>
            </m:e>
            <m:sub>
              <m:r>
                <m:t>i</m:t>
              </m:r>
            </m:sub>
          </m:sSub>
          <m:r>
            <m:rPr>
              <m:sty m:val="p"/>
            </m:rPr>
            <m:t>)</m:t>
          </m:r>
          <m:r>
            <m:rPr>
              <m:sty m:val="p"/>
            </m:rPr>
            <m:t>{</m:t>
          </m:r>
          <m:r>
            <m:rPr>
              <m:scr m:val="double-struck"/>
              <m:sty m:val="p"/>
            </m:rPr>
            <m:t>E</m:t>
          </m:r>
          <m:r>
            <m:rPr>
              <m:sty m:val="p"/>
            </m:rPr>
            <m:t>[</m:t>
          </m:r>
          <m:sSub>
            <m:e>
              <m:r>
                <m:t>Y</m:t>
              </m:r>
            </m:e>
            <m:sub>
              <m:r>
                <m:t>i</m:t>
              </m:r>
            </m:sub>
          </m:sSub>
          <m:r>
            <m:rPr>
              <m:sty m:val="p"/>
            </m:rPr>
            <m:t>]</m:t>
          </m:r>
          <m:sSup>
            <m:e>
              <m:r>
                <m:rPr>
                  <m:sty m:val="p"/>
                </m:rPr>
                <m:t>}</m:t>
              </m:r>
            </m:e>
            <m:sup>
              <m:r>
                <m:t>2</m:t>
              </m:r>
            </m:sup>
          </m:sSup>
          <m:r>
            <m:rPr>
              <m:sty m:val="p"/>
            </m:rPr>
            <m:t>.</m:t>
          </m:r>
        </m:oMath>
      </m:oMathPara>
    </w:p>
    <w:p>
      <w:pPr>
        <w:pStyle w:val="FirstParagraph"/>
      </w:pPr>
      <w:r>
        <w:t xml:space="preserve">Gleichung (55) zeigt, dass Unsicherheit sowohl aus Ereigniszahl als auch Schadenhöhe stammt.</w:t>
      </w:r>
    </w:p>
    <w:bookmarkEnd w:id="65"/>
    <w:bookmarkStart w:id="66" w:name="tweedie-modell"/>
    <w:p>
      <w:pPr>
        <w:pStyle w:val="Heading2"/>
      </w:pPr>
      <w:r>
        <w:rPr>
          <w:rStyle w:val="SectionNumber"/>
        </w:rPr>
        <w:t xml:space="preserve">9.4</w:t>
      </w:r>
      <w:r>
        <w:tab/>
      </w:r>
      <w:r>
        <w:t xml:space="preserve">8.4 Tweedie-Modell</w:t>
      </w:r>
    </w:p>
    <w:p>
      <w:pPr>
        <w:pStyle w:val="FirstParagraph"/>
      </w:pPr>
      <w:r>
        <w:t xml:space="preserve">Ein Tweedie-GLM kann Punktmasse bei null und positive kontinuierliche Werte gemeinsam modellieren:</w:t>
      </w:r>
    </w:p>
    <w:p>
      <w:pPr>
        <w:pStyle w:val="BodyText"/>
      </w:pPr>
      <m:oMathPara>
        <m:oMathParaPr>
          <m:jc m:val="center"/>
        </m:oMathParaPr>
        <m:oMath>
          <m:r>
            <m:rPr>
              <m:sty m:val="p"/>
            </m:rPr>
            <m:t>Var</m:t>
          </m:r>
          <m:r>
            <m:rPr>
              <m:sty m:val="p"/>
            </m:rPr>
            <m:t>(</m:t>
          </m:r>
          <m:sSub>
            <m:e>
              <m:r>
                <m:t>L</m:t>
              </m:r>
            </m:e>
            <m:sub>
              <m:r>
                <m:t>i</m:t>
              </m:r>
            </m:sub>
          </m:sSub>
          <m:r>
            <m:rPr>
              <m:sty m:val="p"/>
            </m:rPr>
            <m:t>)</m:t>
          </m:r>
          <m:r>
            <m:rPr>
              <m:sty m:val="p"/>
            </m:rPr>
            <m:t>=</m:t>
          </m:r>
          <m:r>
            <m:t>ϕ</m:t>
          </m:r>
          <m:sSubSup>
            <m:e>
              <m:r>
                <m:t>μ</m:t>
              </m:r>
            </m:e>
            <m:sub>
              <m:r>
                <m:t>i</m:t>
              </m:r>
            </m:sub>
            <m:sup>
              <m:r>
                <m:t>p</m:t>
              </m:r>
            </m:sup>
          </m:sSubSup>
          <m:r>
            <m:rPr>
              <m:sty m:val="p"/>
            </m:rPr>
            <m:t>,</m:t>
          </m:r>
          <m:r>
            <m:t>  </m:t>
          </m:r>
          <m:r>
            <m:t>1</m:t>
          </m:r>
          <m:r>
            <m:rPr>
              <m:sty m:val="p"/>
            </m:rPr>
            <m:t>&lt;</m:t>
          </m:r>
          <m:r>
            <m:t>p</m:t>
          </m:r>
          <m:r>
            <m:rPr>
              <m:sty m:val="p"/>
            </m:rPr>
            <m:t>&lt;</m:t>
          </m:r>
          <m:r>
            <m:t>2</m:t>
          </m:r>
          <m:r>
            <m:rPr>
              <m:sty m:val="p"/>
            </m:rPr>
            <m:t>.</m:t>
          </m:r>
        </m:oMath>
      </m:oMathPara>
    </w:p>
    <w:p>
      <w:pPr>
        <w:pStyle w:val="FirstParagraph"/>
      </w:pPr>
      <w:r>
        <w:t xml:space="preserve">Für wissenschaftliche Transparenz wird das getrennte Frequenz-Schwere-Modell als Baseline bevorzugt; Tweedie dient als Challenger.</w:t>
      </w:r>
    </w:p>
    <w:bookmarkEnd w:id="66"/>
    <w:bookmarkStart w:id="67" w:name="credibility"/>
    <w:p>
      <w:pPr>
        <w:pStyle w:val="Heading2"/>
      </w:pPr>
      <w:r>
        <w:rPr>
          <w:rStyle w:val="SectionNumber"/>
        </w:rPr>
        <w:t xml:space="preserve">9.5</w:t>
      </w:r>
      <w:r>
        <w:tab/>
      </w:r>
      <w:r>
        <w:t xml:space="preserve">8.5 Credibility</w:t>
      </w:r>
    </w:p>
    <w:p>
      <w:pPr>
        <w:pStyle w:val="FirstParagraph"/>
      </w:pPr>
      <w:r>
        <w:t xml:space="preserve">Bühlmann-artige Credibility kombiniert individuelle und kollektive Erfahrung:</w:t>
      </w:r>
    </w:p>
    <w:p>
      <w:pPr>
        <w:pStyle w:val="BodyText"/>
      </w:pPr>
      <m:oMathPara>
        <m:oMathParaPr>
          <m:jc m:val="center"/>
        </m:oMathParaPr>
        <m:oMath>
          <m:sSub>
            <m:e>
              <m:acc>
                <m:accPr>
                  <m:chr m:val="̂"/>
                </m:accPr>
                <m:e>
                  <m:r>
                    <m:t>θ</m:t>
                  </m:r>
                </m:e>
              </m:acc>
            </m:e>
            <m:sub>
              <m:r>
                <m:t>i</m:t>
              </m:r>
            </m:sub>
          </m:sSub>
          <m:r>
            <m:rPr>
              <m:sty m:val="p"/>
            </m:rPr>
            <m:t>=</m:t>
          </m:r>
          <m:sSub>
            <m:e>
              <m:r>
                <m:t>Z</m:t>
              </m:r>
            </m:e>
            <m:sub>
              <m:r>
                <m:t>i</m:t>
              </m:r>
            </m:sub>
          </m:sSub>
          <m:sSub>
            <m:e>
              <m:bar>
                <m:barPr>
                  <m:pos m:val="top"/>
                </m:barPr>
                <m:e>
                  <m:r>
                    <m:t>X</m:t>
                  </m:r>
                </m:e>
              </m:bar>
            </m:e>
            <m:sub>
              <m:r>
                <m:t>i</m:t>
              </m:r>
            </m:sub>
          </m:sSub>
          <m:r>
            <m:rPr>
              <m:sty m:val="p"/>
            </m:rPr>
            <m:t>+</m:t>
          </m:r>
          <m:r>
            <m:rPr>
              <m:sty m:val="p"/>
            </m:rPr>
            <m:t>(</m:t>
          </m:r>
          <m:r>
            <m:t>1</m:t>
          </m:r>
          <m:r>
            <m:rPr>
              <m:sty m:val="p"/>
            </m:rPr>
            <m:t>−</m:t>
          </m:r>
          <m:sSub>
            <m:e>
              <m:r>
                <m:t>Z</m:t>
              </m:r>
            </m:e>
            <m:sub>
              <m:r>
                <m:t>i</m:t>
              </m:r>
            </m:sub>
          </m:sSub>
          <m:r>
            <m:rPr>
              <m:sty m:val="p"/>
            </m:rPr>
            <m:t>)</m:t>
          </m:r>
          <m:r>
            <m:t>m</m:t>
          </m:r>
          <m:r>
            <m:rPr>
              <m:sty m:val="p"/>
            </m:rPr>
            <m:t>,</m:t>
          </m:r>
        </m:oMath>
      </m:oMathPara>
    </w:p>
    <w:p>
      <w:pPr>
        <w:pStyle w:val="FirstParagraph"/>
      </w:pPr>
      <w:r>
        <w:t xml:space="preserve">mit</w:t>
      </w:r>
    </w:p>
    <w:p>
      <w:pPr>
        <w:pStyle w:val="BodyText"/>
      </w:pPr>
      <m:oMathPara>
        <m:oMathParaPr>
          <m:jc m:val="center"/>
        </m:oMathParaPr>
        <m:oMath>
          <m:sSub>
            <m:e>
              <m:r>
                <m:t>Z</m:t>
              </m:r>
            </m:e>
            <m:sub>
              <m:r>
                <m:t>i</m:t>
              </m:r>
            </m:sub>
          </m:sSub>
          <m:r>
            <m:rPr>
              <m:sty m:val="p"/>
            </m:rPr>
            <m:t>=</m:t>
          </m:r>
          <m:f>
            <m:fPr>
              <m:type m:val="bar"/>
            </m:fPr>
            <m:num>
              <m:sSub>
                <m:e>
                  <m:r>
                    <m:t>n</m:t>
                  </m:r>
                </m:e>
                <m:sub>
                  <m:r>
                    <m:t>i</m:t>
                  </m:r>
                </m:sub>
              </m:sSub>
            </m:num>
            <m:den>
              <m:sSub>
                <m:e>
                  <m:r>
                    <m:t>n</m:t>
                  </m:r>
                </m:e>
                <m:sub>
                  <m:r>
                    <m:t>i</m:t>
                  </m:r>
                </m:sub>
              </m:sSub>
              <m:r>
                <m:rPr>
                  <m:sty m:val="p"/>
                </m:rPr>
                <m:t>+</m:t>
              </m:r>
              <m:r>
                <m:t>K</m:t>
              </m:r>
            </m:den>
          </m:f>
          <m:r>
            <m:rPr>
              <m:sty m:val="p"/>
            </m:rPr>
            <m:t>.</m:t>
          </m:r>
        </m:oMath>
      </m:oMathPara>
    </w:p>
    <w:p>
      <w:pPr>
        <w:pStyle w:val="FirstParagraph"/>
      </w:pPr>
      <m:oMath>
        <m:r>
          <m:t>K</m:t>
        </m:r>
      </m:oMath>
      <w:r>
        <w:t xml:space="preserve"> </w:t>
      </w:r>
      <w:r>
        <w:t xml:space="preserve">hängt vom Verhältnis innerer zu äußerer Varianz ab. Kleine</w:t>
      </w:r>
      <w:r>
        <w:t xml:space="preserve"> </w:t>
      </w:r>
      <m:oMath>
        <m:sSub>
          <m:e>
            <m:r>
              <m:t>n</m:t>
            </m:r>
          </m:e>
          <m:sub>
            <m:r>
              <m:t>i</m:t>
            </m:r>
          </m:sub>
        </m:sSub>
      </m:oMath>
      <w:r>
        <w:t xml:space="preserve"> </w:t>
      </w:r>
      <w:r>
        <w:t xml:space="preserve">führen zu stärkerem Shrinkage zum Kollektiv. In einem hierarchischen Bayes-Modell entsteht analoges Shrinkage aus dem Posterior.</w:t>
      </w:r>
    </w:p>
    <w:bookmarkEnd w:id="67"/>
    <w:bookmarkEnd w:id="68"/>
    <w:bookmarkStart w:id="76" w:name="X99c3297f07aded63f76771fa5f9e1c4fa5fab63"/>
    <w:p>
      <w:pPr>
        <w:pStyle w:val="Heading1"/>
      </w:pPr>
      <w:r>
        <w:rPr>
          <w:rStyle w:val="SectionNumber"/>
        </w:rPr>
        <w:t xml:space="preserve">10</w:t>
      </w:r>
      <w:r>
        <w:tab/>
      </w:r>
      <w:r>
        <w:t xml:space="preserve">9. Unsicherheit, Variabilität und Monte Carlo</w:t>
      </w:r>
    </w:p>
    <w:bookmarkStart w:id="69" w:name="begriffsabgrenzung"/>
    <w:p>
      <w:pPr>
        <w:pStyle w:val="Heading2"/>
      </w:pPr>
      <w:r>
        <w:rPr>
          <w:rStyle w:val="SectionNumber"/>
        </w:rPr>
        <w:t xml:space="preserve">10.1</w:t>
      </w:r>
      <w:r>
        <w:tab/>
      </w:r>
      <w:r>
        <w:t xml:space="preserve">9.1 Begriffsabgrenzung</w:t>
      </w:r>
    </w:p>
    <w:p>
      <w:pPr>
        <w:pStyle w:val="FirstParagraph"/>
      </w:pPr>
      <w:r>
        <w:t xml:space="preserve">Aleatorische Unsicherheit bezeichnet natürliche Zufälligkeit bei gegebenen Parametern. Epistemische Unsicherheit bezeichnet Unkenntnis über Parameter, Modellstruktur, Messfehler oder Übertragbarkeit. Die Trennung ist wichtig, weil mehr Daten epistemische Unsicherheit reduzieren können, aleatorische Zufälligkeit jedoch nicht beseitigen.</w:t>
      </w:r>
    </w:p>
    <w:bookmarkEnd w:id="69"/>
    <w:bookmarkStart w:id="70" w:name="hierarchisches-unsicherheitsmodell"/>
    <w:p>
      <w:pPr>
        <w:pStyle w:val="Heading2"/>
      </w:pPr>
      <w:r>
        <w:rPr>
          <w:rStyle w:val="SectionNumber"/>
        </w:rPr>
        <w:t xml:space="preserve">10.2</w:t>
      </w:r>
      <w:r>
        <w:tab/>
      </w:r>
      <w:r>
        <w:t xml:space="preserve">9.2 Hierarchisches Unsicherheitsmodell</w:t>
      </w:r>
    </w:p>
    <w:p>
      <w:pPr>
        <w:pStyle w:val="FirstParagraph"/>
      </w:pPr>
      <w:r>
        <w:t xml:space="preserve">Sei</w:t>
      </w:r>
      <w:r>
        <w:t xml:space="preserve"> </w:t>
      </w:r>
      <m:oMath>
        <m:r>
          <m:t>θ</m:t>
        </m:r>
      </m:oMath>
      <w:r>
        <w:t xml:space="preserve"> </w:t>
      </w:r>
      <w:r>
        <w:t xml:space="preserve">der unbekannte Parametervektor und</w:t>
      </w:r>
      <w:r>
        <w:t xml:space="preserve"> </w:t>
      </w:r>
      <m:oMath>
        <m:r>
          <m:t>Y</m:t>
        </m:r>
      </m:oMath>
      <w:r>
        <w:t xml:space="preserve"> </w:t>
      </w:r>
      <w:r>
        <w:t xml:space="preserve">ein künftiges Ergebnis. Dann</w:t>
      </w:r>
    </w:p>
    <w:p>
      <w:pPr>
        <w:pStyle w:val="BodyText"/>
      </w:pPr>
      <m:oMathPara>
        <m:oMathParaPr>
          <m:jc m:val="center"/>
        </m:oMathParaPr>
        <m:oMath>
          <m:r>
            <m:t>p</m:t>
          </m:r>
          <m:r>
            <m:rPr>
              <m:sty m:val="p"/>
            </m:rPr>
            <m:t>(</m:t>
          </m:r>
          <m:r>
            <m:t>Y</m:t>
          </m:r>
          <m:r>
            <m:rPr>
              <m:sty m:val="p"/>
            </m:rPr>
            <m:t>∣</m:t>
          </m:r>
          <m:r>
            <m:rPr>
              <m:scr m:val="script"/>
              <m:sty m:val="p"/>
            </m:rPr>
            <m:t>D</m:t>
          </m:r>
          <m:r>
            <m:rPr>
              <m:sty m:val="p"/>
            </m:rPr>
            <m:t>)</m:t>
          </m:r>
          <m:r>
            <m:rPr>
              <m:sty m:val="p"/>
            </m:rPr>
            <m:t>=</m:t>
          </m:r>
          <m:r>
            <m:rPr>
              <m:sty m:val="p"/>
            </m:rPr>
            <m:t>∫</m:t>
          </m:r>
          <m:r>
            <m:t>p</m:t>
          </m:r>
          <m:r>
            <m:rPr>
              <m:sty m:val="p"/>
            </m:rPr>
            <m:t>(</m:t>
          </m:r>
          <m:r>
            <m:t>Y</m:t>
          </m:r>
          <m:r>
            <m:rPr>
              <m:sty m:val="p"/>
            </m:rPr>
            <m:t>∣</m:t>
          </m:r>
          <m:r>
            <m:t>θ</m:t>
          </m:r>
          <m:r>
            <m:rPr>
              <m:sty m:val="p"/>
            </m:rPr>
            <m:t>)</m:t>
          </m:r>
          <m:r>
            <m:t>p</m:t>
          </m:r>
          <m:r>
            <m:rPr>
              <m:sty m:val="p"/>
            </m:rPr>
            <m:t>(</m:t>
          </m:r>
          <m:r>
            <m:t>θ</m:t>
          </m:r>
          <m:r>
            <m:rPr>
              <m:sty m:val="p"/>
            </m:rPr>
            <m:t>∣</m:t>
          </m:r>
          <m:r>
            <m:rPr>
              <m:scr m:val="script"/>
              <m:sty m:val="p"/>
            </m:rPr>
            <m:t>D</m:t>
          </m:r>
          <m:r>
            <m:rPr>
              <m:sty m:val="p"/>
            </m:rPr>
            <m:t>)</m:t>
          </m:r>
          <m:r>
            <m:t> </m:t>
          </m:r>
          <m:r>
            <m:t>d</m:t>
          </m:r>
          <m:r>
            <m:t>θ</m:t>
          </m:r>
          <m:r>
            <m:rPr>
              <m:sty m:val="p"/>
            </m:rPr>
            <m:t>.</m:t>
          </m:r>
        </m:oMath>
      </m:oMathPara>
    </w:p>
    <w:p>
      <w:pPr>
        <w:pStyle w:val="FirstParagraph"/>
      </w:pPr>
      <m:oMath>
        <m:r>
          <m:t>p</m:t>
        </m:r>
        <m:r>
          <m:rPr>
            <m:sty m:val="p"/>
          </m:rPr>
          <m:t>(</m:t>
        </m:r>
        <m:r>
          <m:t>Y</m:t>
        </m:r>
        <m:r>
          <m:rPr>
            <m:sty m:val="p"/>
          </m:rPr>
          <m:t>∣</m:t>
        </m:r>
        <m:r>
          <m:t>θ</m:t>
        </m:r>
        <m:r>
          <m:rPr>
            <m:sty m:val="p"/>
          </m:rPr>
          <m:t>)</m:t>
        </m:r>
      </m:oMath>
      <w:r>
        <w:t xml:space="preserve"> </w:t>
      </w:r>
      <w:r>
        <w:t xml:space="preserve">beschreibt aleatorische Variation,</w:t>
      </w:r>
      <w:r>
        <w:t xml:space="preserve"> </w:t>
      </w:r>
      <m:oMath>
        <m:r>
          <m:t>p</m:t>
        </m:r>
        <m:r>
          <m:rPr>
            <m:sty m:val="p"/>
          </m:rPr>
          <m:t>(</m:t>
        </m:r>
        <m:r>
          <m:t>θ</m:t>
        </m:r>
        <m:r>
          <m:rPr>
            <m:sty m:val="p"/>
          </m:rPr>
          <m:t>∣</m:t>
        </m:r>
        <m:r>
          <m:rPr>
            <m:scr m:val="script"/>
            <m:sty m:val="p"/>
          </m:rPr>
          <m:t>D</m:t>
        </m:r>
        <m:r>
          <m:rPr>
            <m:sty m:val="p"/>
          </m:rPr>
          <m:t>)</m:t>
        </m:r>
      </m:oMath>
      <w:r>
        <w:t xml:space="preserve"> </w:t>
      </w:r>
      <w:r>
        <w:t xml:space="preserve">epistemische Unsicherheit. Die posterior-prädiktive Verteilung integriert beide.</w:t>
      </w:r>
    </w:p>
    <w:bookmarkEnd w:id="70"/>
    <w:bookmarkStart w:id="71" w:name="monte-carlo-algorithmus"/>
    <w:p>
      <w:pPr>
        <w:pStyle w:val="Heading2"/>
      </w:pPr>
      <w:r>
        <w:rPr>
          <w:rStyle w:val="SectionNumber"/>
        </w:rPr>
        <w:t xml:space="preserve">10.3</w:t>
      </w:r>
      <w:r>
        <w:tab/>
      </w:r>
      <w:r>
        <w:t xml:space="preserve">9.3 Monte-Carlo-Algorithmus</w:t>
      </w:r>
    </w:p>
    <w:p>
      <w:pPr>
        <w:pStyle w:val="FirstParagraph"/>
      </w:pPr>
      <w:r>
        <w:t xml:space="preserve">Für</w:t>
      </w:r>
      <w:r>
        <w:t xml:space="preserve"> </w:t>
      </w:r>
      <m:oMath>
        <m:r>
          <m:t>m</m:t>
        </m:r>
        <m:r>
          <m:rPr>
            <m:sty m:val="p"/>
          </m:rPr>
          <m:t>=</m:t>
        </m:r>
        <m:r>
          <m:t>1</m:t>
        </m:r>
        <m:r>
          <m:rPr>
            <m:sty m:val="p"/>
          </m:rPr>
          <m:t>,</m:t>
        </m:r>
        <m:r>
          <m:rPr>
            <m:sty m:val="p"/>
          </m:rPr>
          <m:t>…</m:t>
        </m:r>
        <m:r>
          <m:rPr>
            <m:sty m:val="p"/>
          </m:rPr>
          <m:t>,</m:t>
        </m:r>
        <m:r>
          <m:t>M</m:t>
        </m:r>
      </m:oMath>
      <w:r>
        <w:t xml:space="preserve">:</w:t>
      </w:r>
    </w:p>
    <w:p>
      <w:pPr>
        <w:pStyle w:val="Compact"/>
        <w:numPr>
          <w:ilvl w:val="0"/>
          <w:numId w:val="1007"/>
        </w:numPr>
      </w:pPr>
      <w:r>
        <w:t xml:space="preserve">Ziehe</w:t>
      </w:r>
      <w:r>
        <w:t xml:space="preserve"> </w:t>
      </w:r>
      <m:oMath>
        <m:sSup>
          <m:e>
            <m:r>
              <m:t>θ</m:t>
            </m:r>
          </m:e>
          <m:sup>
            <m:r>
              <m:rPr>
                <m:sty m:val="p"/>
              </m:rPr>
              <m:t>(</m:t>
            </m:r>
            <m:r>
              <m:t>m</m:t>
            </m:r>
            <m:r>
              <m:rPr>
                <m:sty m:val="p"/>
              </m:rPr>
              <m:t>)</m:t>
            </m:r>
          </m:sup>
        </m:sSup>
        <m:r>
          <m:rPr>
            <m:sty m:val="p"/>
          </m:rPr>
          <m:t>∼</m:t>
        </m:r>
        <m:r>
          <m:t>p</m:t>
        </m:r>
        <m:r>
          <m:rPr>
            <m:sty m:val="p"/>
          </m:rPr>
          <m:t>(</m:t>
        </m:r>
        <m:r>
          <m:t>θ</m:t>
        </m:r>
        <m:r>
          <m:rPr>
            <m:sty m:val="p"/>
          </m:rPr>
          <m:t>∣</m:t>
        </m:r>
        <m:r>
          <m:rPr>
            <m:scr m:val="script"/>
            <m:sty m:val="p"/>
          </m:rPr>
          <m:t>D</m:t>
        </m:r>
        <m:r>
          <m:rPr>
            <m:sty m:val="p"/>
          </m:rPr>
          <m:t>)</m:t>
        </m:r>
      </m:oMath>
      <w:r>
        <w:t xml:space="preserve">.</w:t>
      </w:r>
    </w:p>
    <w:p>
      <w:pPr>
        <w:pStyle w:val="Compact"/>
        <w:numPr>
          <w:ilvl w:val="0"/>
          <w:numId w:val="1007"/>
        </w:numPr>
      </w:pPr>
      <w:r>
        <w:t xml:space="preserve">Berechne alle korrelierten Domain-Adapter-Hazards</w:t>
      </w:r>
      <w:r>
        <w:t xml:space="preserve"> </w:t>
      </w:r>
      <m:oMath>
        <m:sSubSup>
          <m:e>
            <m:r>
              <m:t>H</m:t>
            </m:r>
          </m:e>
          <m:sub>
            <m:r>
              <m:t>d</m:t>
            </m:r>
            <m:r>
              <m:t>i</m:t>
            </m:r>
            <m:r>
              <m:t>q</m:t>
            </m:r>
          </m:sub>
          <m:sup>
            <m:r>
              <m:rPr>
                <m:sty m:val="p"/>
              </m:rPr>
              <m:t>(</m:t>
            </m:r>
            <m:r>
              <m:t>m</m:t>
            </m:r>
            <m:r>
              <m:rPr>
                <m:sty m:val="p"/>
              </m:rPr>
              <m:t>)</m:t>
            </m:r>
          </m:sup>
        </m:sSubSup>
      </m:oMath>
      <w:r>
        <w:t xml:space="preserve">.</w:t>
      </w:r>
    </w:p>
    <w:p>
      <w:pPr>
        <w:pStyle w:val="Compact"/>
        <w:numPr>
          <w:ilvl w:val="0"/>
          <w:numId w:val="1007"/>
        </w:numPr>
      </w:pPr>
      <w:r>
        <w:t xml:space="preserve">Aggregiere</w:t>
      </w:r>
      <w:r>
        <w:t xml:space="preserve"> </w:t>
      </w:r>
      <m:oMath>
        <m:sSubSup>
          <m:e>
            <m:r>
              <m:t>H</m:t>
            </m:r>
          </m:e>
          <m:sub>
            <m:r>
              <m:t>q</m:t>
            </m:r>
          </m:sub>
          <m:sup>
            <m:r>
              <m:rPr>
                <m:sty m:val="p"/>
              </m:rPr>
              <m:t>(</m:t>
            </m:r>
            <m:r>
              <m:t>m</m:t>
            </m:r>
            <m:r>
              <m:rPr>
                <m:sty m:val="p"/>
              </m:rPr>
              <m:t>)</m:t>
            </m:r>
          </m:sup>
        </m:sSubSup>
      </m:oMath>
      <w:r>
        <w:t xml:space="preserve">.</w:t>
      </w:r>
    </w:p>
    <w:p>
      <w:pPr>
        <w:pStyle w:val="Compact"/>
        <w:numPr>
          <w:ilvl w:val="0"/>
          <w:numId w:val="1007"/>
        </w:numPr>
      </w:pPr>
      <w:r>
        <w:t xml:space="preserve">Transformiere</w:t>
      </w:r>
      <w:r>
        <w:t xml:space="preserve"> </w:t>
      </w:r>
      <m:oMath>
        <m:sSubSup>
          <m:e>
            <m:r>
              <m:t>P</m:t>
            </m:r>
          </m:e>
          <m:sub>
            <m:r>
              <m:t>q</m:t>
            </m:r>
          </m:sub>
          <m:sup>
            <m:r>
              <m:rPr>
                <m:sty m:val="p"/>
              </m:rPr>
              <m:t>(</m:t>
            </m:r>
            <m:r>
              <m:t>m</m:t>
            </m:r>
            <m:r>
              <m:rPr>
                <m:sty m:val="p"/>
              </m:rPr>
              <m:t>)</m:t>
            </m:r>
          </m:sup>
        </m:sSubSup>
        <m:r>
          <m:rPr>
            <m:sty m:val="p"/>
          </m:rPr>
          <m:t>=</m:t>
        </m:r>
        <m:r>
          <m:t>1</m:t>
        </m:r>
        <m:r>
          <m:rPr>
            <m:sty m:val="p"/>
          </m:rPr>
          <m:t>−</m:t>
        </m:r>
        <m:sSup>
          <m:e>
            <m:r>
              <m:t>e</m:t>
            </m:r>
          </m:e>
          <m:sup>
            <m:r>
              <m:rPr>
                <m:sty m:val="p"/>
              </m:rPr>
              <m:t>−</m:t>
            </m:r>
            <m:sSubSup>
              <m:e>
                <m:r>
                  <m:t>H</m:t>
                </m:r>
              </m:e>
              <m:sub>
                <m:r>
                  <m:t>q</m:t>
                </m:r>
              </m:sub>
              <m:sup>
                <m:r>
                  <m:rPr>
                    <m:sty m:val="p"/>
                  </m:rPr>
                  <m:t>(</m:t>
                </m:r>
                <m:r>
                  <m:t>m</m:t>
                </m:r>
                <m:r>
                  <m:rPr>
                    <m:sty m:val="p"/>
                  </m:rPr>
                  <m:t>)</m:t>
                </m:r>
              </m:sup>
            </m:sSubSup>
          </m:sup>
        </m:sSup>
      </m:oMath>
      <w:r>
        <w:t xml:space="preserve">.</w:t>
      </w:r>
    </w:p>
    <w:p>
      <w:pPr>
        <w:pStyle w:val="Compact"/>
        <w:numPr>
          <w:ilvl w:val="0"/>
          <w:numId w:val="1007"/>
        </w:numPr>
      </w:pPr>
      <w:r>
        <w:t xml:space="preserve">Berechne</w:t>
      </w:r>
      <w:r>
        <w:t xml:space="preserve"> </w:t>
      </w:r>
      <m:oMath>
        <m:sSup>
          <m:e>
            <m:r>
              <m:t>M</m:t>
            </m:r>
          </m:e>
          <m:sup>
            <m:r>
              <m:rPr>
                <m:sty m:val="p"/>
              </m:rPr>
              <m:t>(</m:t>
            </m:r>
            <m:r>
              <m:t>m</m:t>
            </m:r>
            <m:r>
              <m:rPr>
                <m:sty m:val="p"/>
              </m:rPr>
              <m:t>)</m:t>
            </m:r>
          </m:sup>
        </m:sSup>
        <m:r>
          <m:rPr>
            <m:sty m:val="p"/>
          </m:rPr>
          <m:t>=</m:t>
        </m:r>
        <m:sSup>
          <m:e>
            <m:r>
              <m:t>10</m:t>
            </m:r>
          </m:e>
          <m:sup>
            <m:r>
              <m:t>6</m:t>
            </m:r>
          </m:sup>
        </m:sSup>
        <m:sSubSup>
          <m:e>
            <m:r>
              <m:t>P</m:t>
            </m:r>
          </m:e>
          <m:sub>
            <m:r>
              <m:rPr>
                <m:sty m:val="p"/>
              </m:rPr>
              <m:t>d</m:t>
            </m:r>
            <m:r>
              <m:rPr>
                <m:sty m:val="p"/>
              </m:rPr>
              <m:t>e</m:t>
            </m:r>
            <m:r>
              <m:rPr>
                <m:sty m:val="p"/>
              </m:rPr>
              <m:t>a</m:t>
            </m:r>
            <m:r>
              <m:rPr>
                <m:sty m:val="p"/>
              </m:rPr>
              <m:t>t</m:t>
            </m:r>
            <m:r>
              <m:rPr>
                <m:sty m:val="p"/>
              </m:rPr>
              <m:t>h</m:t>
            </m:r>
          </m:sub>
          <m:sup>
            <m:r>
              <m:rPr>
                <m:sty m:val="p"/>
              </m:rPr>
              <m:t>(</m:t>
            </m:r>
            <m:r>
              <m:t>m</m:t>
            </m:r>
            <m:r>
              <m:rPr>
                <m:sty m:val="p"/>
              </m:rPr>
              <m:t>)</m:t>
            </m:r>
          </m:sup>
        </m:sSubSup>
      </m:oMath>
      <w:r>
        <w:t xml:space="preserve">.</w:t>
      </w:r>
    </w:p>
    <w:p>
      <w:pPr>
        <w:pStyle w:val="FirstParagraph"/>
      </w:pPr>
      <w:r>
        <w:t xml:space="preserve">Der Monte-Carlo-Schätzer des Erwartungswerts ist</w:t>
      </w:r>
    </w:p>
    <w:p>
      <w:pPr>
        <w:pStyle w:val="BodyText"/>
      </w:pPr>
      <m:oMathPara>
        <m:oMathParaPr>
          <m:jc m:val="center"/>
        </m:oMathParaPr>
        <m:oMath>
          <m:acc>
            <m:accPr>
              <m:chr m:val="̂"/>
            </m:accPr>
            <m:e>
              <m:r>
                <m:rPr>
                  <m:scr m:val="double-struck"/>
                  <m:sty m:val="p"/>
                </m:rPr>
                <m:t>E</m:t>
              </m:r>
            </m:e>
          </m:acc>
          <m:r>
            <m:rPr>
              <m:sty m:val="p"/>
            </m:rPr>
            <m:t>[</m:t>
          </m:r>
          <m:r>
            <m:t>M</m:t>
          </m:r>
          <m:r>
            <m:rPr>
              <m:sty m:val="p"/>
            </m:rPr>
            <m:t>]</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p>
                <m:e>
                  <m:r>
                    <m:t>M</m:t>
                  </m:r>
                </m:e>
                <m:sup>
                  <m:r>
                    <m:rPr>
                      <m:sty m:val="p"/>
                    </m:rPr>
                    <m:t>(</m:t>
                  </m:r>
                  <m:r>
                    <m:t>m</m:t>
                  </m:r>
                  <m:r>
                    <m:rPr>
                      <m:sty m:val="p"/>
                    </m:rPr>
                    <m:t>)</m:t>
                  </m:r>
                </m:sup>
              </m:sSup>
            </m:e>
          </m:nary>
          <m:r>
            <m:rPr>
              <m:sty m:val="p"/>
            </m:rPr>
            <m:t>.</m:t>
          </m:r>
        </m:oMath>
      </m:oMathPara>
    </w:p>
    <w:p>
      <w:pPr>
        <w:pStyle w:val="FirstParagraph"/>
      </w:pPr>
      <w:r>
        <w:t xml:space="preserve">Ein</w:t>
      </w:r>
      <w:r>
        <w:t xml:space="preserve"> </w:t>
      </w:r>
      <m:oMath>
        <m:r>
          <m:t>100</m:t>
        </m:r>
        <m:r>
          <m:rPr>
            <m:sty m:val="p"/>
          </m:rPr>
          <m:t>(</m:t>
        </m:r>
        <m:r>
          <m:t>1</m:t>
        </m:r>
        <m:r>
          <m:rPr>
            <m:sty m:val="p"/>
          </m:rPr>
          <m:t>−</m:t>
        </m:r>
        <m:r>
          <m:t>α</m:t>
        </m:r>
        <m:r>
          <m:rPr>
            <m:sty m:val="p"/>
          </m:rPr>
          <m:t>)</m:t>
        </m:r>
      </m:oMath>
      <w:r>
        <w:t xml:space="preserve">-prozentiges Modellintervall wird aus empirischen Quantilen gebildet:</w:t>
      </w:r>
    </w:p>
    <w:p>
      <w:pPr>
        <w:pStyle w:val="BodyText"/>
      </w:pPr>
      <m:oMathPara>
        <m:oMathParaPr>
          <m:jc m:val="center"/>
        </m:oMathParaPr>
        <m:oMath>
          <m:sSub>
            <m:e>
              <m:r>
                <m:t>I</m:t>
              </m:r>
            </m:e>
            <m:sub>
              <m:r>
                <m:t>1</m:t>
              </m:r>
              <m:r>
                <m:rPr>
                  <m:sty m:val="p"/>
                </m:rPr>
                <m:t>−</m:t>
              </m:r>
              <m:r>
                <m:t>α</m:t>
              </m:r>
            </m:sub>
          </m:sSub>
          <m:r>
            <m:rPr>
              <m:sty m:val="p"/>
            </m:rPr>
            <m:t>=</m:t>
          </m:r>
          <m:d>
            <m:dPr>
              <m:begChr m:val="["/>
              <m:sepChr m:val=""/>
              <m:endChr m:val="]"/>
              <m:grow/>
            </m:dPr>
            <m:e>
              <m:sSub>
                <m:e>
                  <m:r>
                    <m:t>Q</m:t>
                  </m:r>
                </m:e>
                <m:sub>
                  <m:r>
                    <m:t>α</m:t>
                  </m:r>
                  <m:r>
                    <m:rPr>
                      <m:sty m:val="p"/>
                    </m:rPr>
                    <m:t>/</m:t>
                  </m:r>
                  <m:r>
                    <m:t>2</m:t>
                  </m:r>
                </m:sub>
              </m:sSub>
              <m:r>
                <m:rPr>
                  <m:sty m:val="p"/>
                </m:rPr>
                <m:t>(</m:t>
              </m:r>
              <m:r>
                <m:t>M</m:t>
              </m:r>
              <m:r>
                <m:rPr>
                  <m:sty m:val="p"/>
                </m:rPr>
                <m:t>)</m:t>
              </m:r>
              <m:r>
                <m:rPr>
                  <m:sty m:val="p"/>
                </m:rPr>
                <m:t>,</m:t>
              </m:r>
              <m:sSub>
                <m:e>
                  <m:r>
                    <m:t>Q</m:t>
                  </m:r>
                </m:e>
                <m:sub>
                  <m:r>
                    <m:t>1</m:t>
                  </m:r>
                  <m:r>
                    <m:rPr>
                      <m:sty m:val="p"/>
                    </m:rPr>
                    <m:t>−</m:t>
                  </m:r>
                  <m:r>
                    <m:t>α</m:t>
                  </m:r>
                  <m:r>
                    <m:rPr>
                      <m:sty m:val="p"/>
                    </m:rPr>
                    <m:t>/</m:t>
                  </m:r>
                  <m:r>
                    <m:t>2</m:t>
                  </m:r>
                </m:sub>
              </m:sSub>
              <m:r>
                <m:rPr>
                  <m:sty m:val="p"/>
                </m:rPr>
                <m:t>(</m:t>
              </m:r>
              <m:r>
                <m:t>M</m:t>
              </m:r>
              <m:r>
                <m:rPr>
                  <m:sty m:val="p"/>
                </m:rPr>
                <m:t>)</m:t>
              </m:r>
            </m:e>
          </m:d>
          <m:r>
            <m:rPr>
              <m:sty m:val="p"/>
            </m:rPr>
            <m:t>.</m:t>
          </m:r>
        </m:oMath>
      </m:oMathPara>
    </w:p>
    <w:bookmarkEnd w:id="71"/>
    <w:bookmarkStart w:id="72" w:name="monte-carlo-fehler"/>
    <w:p>
      <w:pPr>
        <w:pStyle w:val="Heading2"/>
      </w:pPr>
      <w:r>
        <w:rPr>
          <w:rStyle w:val="SectionNumber"/>
        </w:rPr>
        <w:t xml:space="preserve">10.4</w:t>
      </w:r>
      <w:r>
        <w:tab/>
      </w:r>
      <w:r>
        <w:t xml:space="preserve">9.4 Monte-Carlo-Fehler</w:t>
      </w:r>
    </w:p>
    <w:p>
      <w:pPr>
        <w:pStyle w:val="FirstParagraph"/>
      </w:pPr>
      <w:r>
        <w:t xml:space="preserve">Die Simulation selbst besitzt numerischen Fehler. Für den geschätzten Mittelwert gilt näherungsweise</w:t>
      </w:r>
    </w:p>
    <w:p>
      <w:pPr>
        <w:pStyle w:val="BodyText"/>
      </w:pPr>
      <m:oMathPara>
        <m:oMathParaPr>
          <m:jc m:val="center"/>
        </m:oMathParaPr>
        <m:oMath>
          <m:r>
            <m:t>S</m:t>
          </m:r>
          <m:sSub>
            <m:e>
              <m:r>
                <m:t>E</m:t>
              </m:r>
            </m:e>
            <m:sub>
              <m:r>
                <m:t>M</m:t>
              </m:r>
              <m:r>
                <m:t>C</m:t>
              </m:r>
            </m:sub>
          </m:sSub>
          <m:r>
            <m:rPr>
              <m:sty m:val="p"/>
            </m:rPr>
            <m:t>(</m:t>
          </m:r>
          <m:bar>
            <m:barPr>
              <m:pos m:val="top"/>
            </m:barPr>
            <m:e>
              <m:r>
                <m:t>M</m:t>
              </m:r>
            </m:e>
          </m:bar>
          <m:r>
            <m:rPr>
              <m:sty m:val="p"/>
            </m:rPr>
            <m:t>)</m:t>
          </m:r>
          <m:r>
            <m:rPr>
              <m:sty m:val="p"/>
            </m:rPr>
            <m:t>=</m:t>
          </m:r>
          <m:f>
            <m:fPr>
              <m:type m:val="bar"/>
            </m:fPr>
            <m:num>
              <m:sSub>
                <m:e>
                  <m:r>
                    <m:t>s</m:t>
                  </m:r>
                </m:e>
                <m:sub>
                  <m:r>
                    <m:t>M</m:t>
                  </m:r>
                </m:sub>
              </m:sSub>
            </m:num>
            <m:den>
              <m:rad>
                <m:radPr>
                  <m:degHide m:val="on"/>
                </m:radPr>
                <m:deg/>
                <m:e>
                  <m:r>
                    <m:t>M</m:t>
                  </m:r>
                </m:e>
              </m:rad>
            </m:den>
          </m:f>
          <m:r>
            <m:rPr>
              <m:sty m:val="p"/>
            </m:rPr>
            <m:t>.</m:t>
          </m:r>
        </m:oMath>
      </m:oMathPara>
    </w:p>
    <w:p>
      <w:pPr>
        <w:pStyle w:val="FirstParagraph"/>
      </w:pPr>
      <w:r>
        <w:t xml:space="preserve">Die Anzahl der Läufe wird nicht pauschal auf 10.000 oder 1.000.000 festgelegt. Sie wird erhöht, bis relevante Quantile und Sensitivitätsmaße ausreichend stabil sind. Bei abhängigen MCMC-Ziehungen ist die effektive Stichprobengröße statt</w:t>
      </w:r>
      <w:r>
        <w:t xml:space="preserve"> </w:t>
      </w:r>
      <m:oMath>
        <m:r>
          <m:t>M</m:t>
        </m:r>
      </m:oMath>
      <w:r>
        <w:t xml:space="preserve"> </w:t>
      </w:r>
      <w:r>
        <w:t xml:space="preserve">zu verwenden.</w:t>
      </w:r>
    </w:p>
    <w:bookmarkEnd w:id="72"/>
    <w:bookmarkStart w:id="73" w:name="korrelationen"/>
    <w:p>
      <w:pPr>
        <w:pStyle w:val="Heading2"/>
      </w:pPr>
      <w:r>
        <w:rPr>
          <w:rStyle w:val="SectionNumber"/>
        </w:rPr>
        <w:t xml:space="preserve">10.5</w:t>
      </w:r>
      <w:r>
        <w:tab/>
      </w:r>
      <w:r>
        <w:t xml:space="preserve">9.5 Korrelationen</w:t>
      </w:r>
    </w:p>
    <w:p>
      <w:pPr>
        <w:pStyle w:val="FirstParagraph"/>
      </w:pPr>
      <w:r>
        <w:t xml:space="preserve">Unabhängiges Ziehen korrelierter Parameter verzerrt die Unsicherheit. Bei approximativ normalem Parameterposterior kann</w:t>
      </w:r>
    </w:p>
    <w:p>
      <w:pPr>
        <w:pStyle w:val="BodyText"/>
      </w:pPr>
      <m:oMathPara>
        <m:oMathParaPr>
          <m:jc m:val="center"/>
        </m:oMathParaPr>
        <m:oMath>
          <m:sSup>
            <m:e>
              <m:r>
                <m:t>θ</m:t>
              </m:r>
            </m:e>
            <m:sup>
              <m:r>
                <m:rPr>
                  <m:sty m:val="p"/>
                </m:rPr>
                <m:t>(</m:t>
              </m:r>
              <m:r>
                <m:t>m</m:t>
              </m:r>
              <m:r>
                <m:rPr>
                  <m:sty m:val="p"/>
                </m:rPr>
                <m:t>)</m:t>
              </m:r>
            </m:sup>
          </m:sSup>
          <m:r>
            <m:rPr>
              <m:sty m:val="p"/>
            </m:rPr>
            <m:t>∼</m:t>
          </m:r>
          <m:r>
            <m:rPr>
              <m:scr m:val="script"/>
              <m:sty m:val="p"/>
            </m:rPr>
            <m:t>N</m:t>
          </m:r>
          <m:r>
            <m:rPr>
              <m:sty m:val="p"/>
            </m:rPr>
            <m:t>(</m:t>
          </m:r>
          <m:acc>
            <m:accPr>
              <m:chr m:val="̂"/>
            </m:accPr>
            <m:e>
              <m:r>
                <m:t>θ</m:t>
              </m:r>
            </m:e>
          </m:acc>
          <m:r>
            <m:rPr>
              <m:sty m:val="p"/>
            </m:rPr>
            <m:t>,</m:t>
          </m:r>
          <m:acc>
            <m:accPr>
              <m:chr m:val="̂"/>
            </m:accPr>
            <m:e>
              <m:r>
                <m:rPr>
                  <m:sty m:val="p"/>
                </m:rPr>
                <m:t>Σ</m:t>
              </m:r>
            </m:e>
          </m:acc>
          <m:r>
            <m:rPr>
              <m:sty m:val="p"/>
            </m:rPr>
            <m:t>)</m:t>
          </m:r>
        </m:oMath>
      </m:oMathPara>
    </w:p>
    <w:p>
      <w:pPr>
        <w:pStyle w:val="FirstParagraph"/>
      </w:pPr>
      <w:r>
        <w:t xml:space="preserve">verwendet werden. Alternativ werden Bootstrap-Datensätze neu geschätzt oder gemeinsame Bayes-Posteriorzie-hungen verwendet.</w:t>
      </w:r>
    </w:p>
    <w:bookmarkEnd w:id="73"/>
    <w:bookmarkStart w:id="74" w:name="sensitivitätsanalyse"/>
    <w:p>
      <w:pPr>
        <w:pStyle w:val="Heading2"/>
      </w:pPr>
      <w:r>
        <w:rPr>
          <w:rStyle w:val="SectionNumber"/>
        </w:rPr>
        <w:t xml:space="preserve">10.6</w:t>
      </w:r>
      <w:r>
        <w:tab/>
      </w:r>
      <w:r>
        <w:t xml:space="preserve">9.6 Sensitivitätsanalyse</w:t>
      </w:r>
    </w:p>
    <w:p>
      <w:pPr>
        <w:pStyle w:val="FirstParagraph"/>
      </w:pPr>
      <w:r>
        <w:t xml:space="preserve">Lokale Sensitivität:</w:t>
      </w:r>
    </w:p>
    <w:p>
      <w:pPr>
        <w:pStyle w:val="BodyText"/>
      </w:pPr>
      <m:oMathPara>
        <m:oMathParaPr>
          <m:jc m:val="center"/>
        </m:oMathParaPr>
        <m:oMath>
          <m:sSub>
            <m:e>
              <m:r>
                <m:t>S</m:t>
              </m:r>
            </m:e>
            <m:sub>
              <m:r>
                <m:t>j</m:t>
              </m:r>
            </m:sub>
          </m:sSub>
          <m:r>
            <m:rPr>
              <m:sty m:val="p"/>
            </m:rPr>
            <m:t>=</m:t>
          </m:r>
          <m:f>
            <m:fPr>
              <m:type m:val="bar"/>
            </m:fPr>
            <m:num>
              <m:r>
                <m:rPr>
                  <m:sty m:val="p"/>
                </m:rPr>
                <m:t>∂</m:t>
              </m:r>
              <m:r>
                <m:rPr>
                  <m:sty m:val="p"/>
                </m:rPr>
                <m:t>log</m:t>
              </m:r>
              <m:r>
                <m:t>M</m:t>
              </m:r>
            </m:num>
            <m:den>
              <m:r>
                <m:rPr>
                  <m:sty m:val="p"/>
                </m:rPr>
                <m:t>∂</m:t>
              </m:r>
              <m:r>
                <m:rPr>
                  <m:sty m:val="p"/>
                </m:rPr>
                <m:t>log</m:t>
              </m:r>
              <m:sSub>
                <m:e>
                  <m:r>
                    <m:t>θ</m:t>
                  </m:r>
                </m:e>
                <m:sub>
                  <m:r>
                    <m:t>j</m:t>
                  </m:r>
                </m:sub>
              </m:sSub>
            </m:den>
          </m:f>
          <m:r>
            <m:rPr>
              <m:sty m:val="p"/>
            </m:rPr>
            <m:t>.</m:t>
          </m:r>
        </m:oMath>
      </m:oMathPara>
    </w:p>
    <w:p>
      <w:pPr>
        <w:pStyle w:val="FirstParagraph"/>
      </w:pPr>
      <w:r>
        <w:t xml:space="preserve">Globale Sensitivität kann mittels Varianzzerlegung oder rangbasierter Korrelation bestimmt werden. Sensitivität beantwortet, welche Parameter Unsicherheit treiben, nicht welche Faktoren kausal am wichtigsten sind.</w:t>
      </w:r>
    </w:p>
    <w:bookmarkEnd w:id="74"/>
    <w:bookmarkStart w:id="75" w:name="beispielrechnung"/>
    <w:p>
      <w:pPr>
        <w:pStyle w:val="Heading2"/>
      </w:pPr>
      <w:r>
        <w:rPr>
          <w:rStyle w:val="SectionNumber"/>
        </w:rPr>
        <w:t xml:space="preserve">10.7</w:t>
      </w:r>
      <w:r>
        <w:tab/>
      </w:r>
      <w:r>
        <w:t xml:space="preserve">9.7 Beispielrechnung</w:t>
      </w:r>
    </w:p>
    <w:p>
      <w:pPr>
        <w:pStyle w:val="FirstParagraph"/>
      </w:pPr>
      <w:r>
        <w:t xml:space="preserve">Angenommen, die Straßenunfallrate besitzt</w:t>
      </w:r>
    </w:p>
    <w:p>
      <w:pPr>
        <w:pStyle w:val="BodyText"/>
      </w:pPr>
      <m:oMathPara>
        <m:oMathParaPr>
          <m:jc m:val="center"/>
        </m:oMathParaPr>
        <m:oMath>
          <m:r>
            <m:t>r</m:t>
          </m:r>
          <m:r>
            <m:rPr>
              <m:sty m:val="p"/>
            </m:rPr>
            <m:t>∼</m:t>
          </m:r>
          <m:r>
            <m:rPr>
              <m:sty m:val="p"/>
            </m:rPr>
            <m:t>Gamma</m:t>
          </m:r>
          <m:r>
            <m:rPr>
              <m:sty m:val="p"/>
            </m:rPr>
            <m:t>(</m:t>
          </m:r>
          <m:r>
            <m:t>α</m:t>
          </m:r>
          <m:r>
            <m:rPr>
              <m:sty m:val="p"/>
            </m:rPr>
            <m:t>=</m:t>
          </m:r>
          <m:r>
            <m:t>25</m:t>
          </m:r>
          <m:r>
            <m:rPr>
              <m:sty m:val="p"/>
            </m:rPr>
            <m:t>,</m:t>
          </m:r>
          <m:r>
            <m:t>β</m:t>
          </m:r>
          <m:r>
            <m:rPr>
              <m:sty m:val="p"/>
            </m:rPr>
            <m:t>=</m:t>
          </m:r>
          <m:r>
            <m:t>5</m:t>
          </m:r>
          <m:r>
            <m:rPr>
              <m:sty m:val="p"/>
            </m:rPr>
            <m:t>×</m:t>
          </m:r>
          <m:sSup>
            <m:e>
              <m:r>
                <m:t>10</m:t>
              </m:r>
            </m:e>
            <m:sup>
              <m:r>
                <m:t>7</m:t>
              </m:r>
            </m:sup>
          </m:sSup>
          <m:r>
            <m:rPr>
              <m:sty m:val="p"/>
            </m:rPr>
            <m:t>)</m:t>
          </m:r>
          <m:r>
            <m:rPr>
              <m:sty m:val="p"/>
            </m:rPr>
            <m:t>,</m:t>
          </m:r>
        </m:oMath>
      </m:oMathPara>
    </w:p>
    <w:p>
      <w:pPr>
        <w:pStyle w:val="FirstParagraph"/>
      </w:pPr>
      <w:r>
        <w:t xml:space="preserve">mit</w:t>
      </w:r>
      <w:r>
        <w:t xml:space="preserve"> </w:t>
      </w:r>
      <m:oMath>
        <m:r>
          <m:rPr>
            <m:scr m:val="double-struck"/>
            <m:sty m:val="p"/>
          </m:rPr>
          <m:t>E</m:t>
        </m:r>
        <m:r>
          <m:rPr>
            <m:sty m:val="p"/>
          </m:rPr>
          <m:t>[</m:t>
        </m:r>
        <m:r>
          <m:t>r</m:t>
        </m:r>
        <m:r>
          <m:rPr>
            <m:sty m:val="p"/>
          </m:rPr>
          <m:t>]</m:t>
        </m:r>
        <m:r>
          <m:rPr>
            <m:sty m:val="p"/>
          </m:rPr>
          <m:t>=</m:t>
        </m:r>
        <m:r>
          <m:t>5</m:t>
        </m:r>
        <m:r>
          <m:rPr>
            <m:sty m:val="p"/>
          </m:rPr>
          <m:t>×</m:t>
        </m:r>
        <m:sSup>
          <m:e>
            <m:r>
              <m:t>10</m:t>
            </m:r>
          </m:e>
          <m:sup>
            <m:r>
              <m:rPr>
                <m:sty m:val="p"/>
              </m:rPr>
              <m:t>−</m:t>
            </m:r>
            <m:r>
              <m:t>7</m:t>
            </m:r>
          </m:sup>
        </m:sSup>
      </m:oMath>
      <w:r>
        <w:t xml:space="preserve"> </w:t>
      </w:r>
      <w:r>
        <w:t xml:space="preserve">je Kilometer. Für</w:t>
      </w:r>
      <w:r>
        <w:t xml:space="preserve"> </w:t>
      </w:r>
      <m:oMath>
        <m:r>
          <m:t>d</m:t>
        </m:r>
        <m:r>
          <m:rPr>
            <m:sty m:val="p"/>
          </m:rPr>
          <m:t>=</m:t>
        </m:r>
        <m:r>
          <m:t>100</m:t>
        </m:r>
      </m:oMath>
      <w:r>
        <w:t xml:space="preserve"> </w:t>
      </w:r>
      <w:r>
        <w:t xml:space="preserve">km ist</w:t>
      </w:r>
    </w:p>
    <w:p>
      <w:pPr>
        <w:pStyle w:val="BodyText"/>
      </w:pPr>
      <m:oMathPara>
        <m:oMathParaPr>
          <m:jc m:val="center"/>
        </m:oMathParaPr>
        <m:oMath>
          <m:r>
            <m:t>H</m:t>
          </m:r>
          <m:r>
            <m:rPr>
              <m:sty m:val="p"/>
            </m:rPr>
            <m:t>=</m:t>
          </m:r>
          <m:r>
            <m:t>d</m:t>
          </m:r>
          <m:r>
            <m:t>r</m:t>
          </m:r>
          <m:r>
            <m:rPr>
              <m:sty m:val="p"/>
            </m:rPr>
            <m:t>,</m:t>
          </m:r>
        </m:oMath>
      </m:oMathPara>
    </w:p>
    <w:p>
      <w:pPr>
        <w:pStyle w:val="FirstParagraph"/>
      </w:pPr>
      <w:r>
        <w:t xml:space="preserve">und der erwartete Hazard</w:t>
      </w:r>
    </w:p>
    <w:p>
      <w:pPr>
        <w:pStyle w:val="BodyText"/>
      </w:pPr>
      <m:oMathPara>
        <m:oMathParaPr>
          <m:jc m:val="center"/>
        </m:oMathParaPr>
        <m:oMath>
          <m:r>
            <m:rPr>
              <m:scr m:val="double-struck"/>
              <m:sty m:val="p"/>
            </m:rPr>
            <m:t>E</m:t>
          </m:r>
          <m:r>
            <m:rPr>
              <m:sty m:val="p"/>
            </m:rPr>
            <m:t>[</m:t>
          </m:r>
          <m:r>
            <m:t>H</m:t>
          </m:r>
          <m:r>
            <m:rPr>
              <m:sty m:val="p"/>
            </m:rPr>
            <m:t>]</m:t>
          </m:r>
          <m:r>
            <m:rPr>
              <m:sty m:val="p"/>
            </m:rPr>
            <m:t>=</m:t>
          </m:r>
          <m:r>
            <m:t>100</m:t>
          </m:r>
          <m:f>
            <m:fPr>
              <m:type m:val="bar"/>
            </m:fPr>
            <m:num>
              <m:r>
                <m:t>25</m:t>
              </m:r>
            </m:num>
            <m:den>
              <m:r>
                <m:t>5</m:t>
              </m:r>
              <m:r>
                <m:rPr>
                  <m:sty m:val="p"/>
                </m:rPr>
                <m:t>×</m:t>
              </m:r>
              <m:sSup>
                <m:e>
                  <m:r>
                    <m:t>10</m:t>
                  </m:r>
                </m:e>
                <m:sup>
                  <m:r>
                    <m:t>7</m:t>
                  </m:r>
                </m:sup>
              </m:sSup>
            </m:den>
          </m:f>
          <m:r>
            <m:rPr>
              <m:sty m:val="p"/>
            </m:rPr>
            <m:t>=</m:t>
          </m:r>
          <m:r>
            <m:t>5</m:t>
          </m:r>
          <m:r>
            <m:rPr>
              <m:sty m:val="p"/>
            </m:rPr>
            <m:t>×</m:t>
          </m:r>
          <m:sSup>
            <m:e>
              <m:r>
                <m:t>10</m:t>
              </m:r>
            </m:e>
            <m:sup>
              <m:r>
                <m:rPr>
                  <m:sty m:val="p"/>
                </m:rPr>
                <m:t>−</m:t>
              </m:r>
              <m:r>
                <m:t>5</m:t>
              </m:r>
            </m:sup>
          </m:sSup>
          <m:r>
            <m:rPr>
              <m:sty m:val="p"/>
            </m:rPr>
            <m:t>.</m:t>
          </m:r>
        </m:oMath>
      </m:oMathPara>
    </w:p>
    <w:p>
      <w:pPr>
        <w:pStyle w:val="FirstParagraph"/>
      </w:pPr>
      <w:r>
        <w:t xml:space="preserve">Wegen der Nichtlinearität gilt allgemein</w:t>
      </w:r>
    </w:p>
    <w:p>
      <w:pPr>
        <w:pStyle w:val="BodyText"/>
      </w:pPr>
      <m:oMathPara>
        <m:oMathParaPr>
          <m:jc m:val="center"/>
        </m:oMathParaPr>
        <m:oMath>
          <m:r>
            <m:rPr>
              <m:scr m:val="double-struck"/>
              <m:sty m:val="p"/>
            </m:rPr>
            <m:t>E</m:t>
          </m:r>
          <m:r>
            <m:rPr>
              <m:sty m:val="p"/>
            </m:rPr>
            <m:t>[</m:t>
          </m:r>
          <m:r>
            <m:t>1</m:t>
          </m:r>
          <m:r>
            <m:rPr>
              <m:sty m:val="p"/>
            </m:rPr>
            <m:t>−</m:t>
          </m:r>
          <m:sSup>
            <m:e>
              <m:r>
                <m:t>e</m:t>
              </m:r>
            </m:e>
            <m:sup>
              <m:r>
                <m:rPr>
                  <m:sty m:val="p"/>
                </m:rPr>
                <m:t>−</m:t>
              </m:r>
              <m:r>
                <m:t>H</m:t>
              </m:r>
            </m:sup>
          </m:sSup>
          <m:r>
            <m:rPr>
              <m:sty m:val="p"/>
            </m:rPr>
            <m:t>]</m:t>
          </m:r>
          <m:r>
            <m:rPr>
              <m:sty m:val="p"/>
            </m:rPr>
            <m:t>≠</m:t>
          </m:r>
          <m:r>
            <m:t>1</m:t>
          </m:r>
          <m:r>
            <m:rPr>
              <m:sty m:val="p"/>
            </m:rPr>
            <m:t>−</m:t>
          </m:r>
          <m:sSup>
            <m:e>
              <m:r>
                <m:t>e</m:t>
              </m:r>
            </m:e>
            <m:sup>
              <m:r>
                <m:rPr>
                  <m:sty m:val="p"/>
                </m:rPr>
                <m:t>−</m:t>
              </m:r>
              <m:r>
                <m:rPr>
                  <m:scr m:val="double-struck"/>
                  <m:sty m:val="p"/>
                </m:rPr>
                <m:t>E</m:t>
              </m:r>
              <m:r>
                <m:rPr>
                  <m:sty m:val="p"/>
                </m:rPr>
                <m:t>[</m:t>
              </m:r>
              <m:r>
                <m:t>H</m:t>
              </m:r>
              <m:r>
                <m:rPr>
                  <m:sty m:val="p"/>
                </m:rPr>
                <m:t>]</m:t>
              </m:r>
            </m:sup>
          </m:sSup>
          <m:r>
            <m:rPr>
              <m:sty m:val="p"/>
            </m:rPr>
            <m:t>.</m:t>
          </m:r>
        </m:oMath>
      </m:oMathPara>
    </w:p>
    <w:p>
      <w:pPr>
        <w:pStyle w:val="FirstParagraph"/>
      </w:pPr>
      <w:r>
        <w:t xml:space="preserve">Monte Carlo oder die Laplace-Transformation der Gamma-Verteilung liefert den korrekten Erwartungswert:</w:t>
      </w:r>
    </w:p>
    <w:p>
      <w:pPr>
        <w:pStyle w:val="BodyText"/>
      </w:pPr>
      <m:oMathPara>
        <m:oMathParaPr>
          <m:jc m:val="center"/>
        </m:oMathParaPr>
        <m:oMath>
          <m:r>
            <m:rPr>
              <m:scr m:val="double-struck"/>
              <m:sty m:val="p"/>
            </m:rPr>
            <m:t>E</m:t>
          </m:r>
          <m:r>
            <m:rPr>
              <m:sty m:val="p"/>
            </m:rPr>
            <m:t>[</m:t>
          </m:r>
          <m:sSup>
            <m:e>
              <m:r>
                <m:t>e</m:t>
              </m:r>
            </m:e>
            <m:sup>
              <m:r>
                <m:rPr>
                  <m:sty m:val="p"/>
                </m:rPr>
                <m:t>−</m:t>
              </m:r>
              <m:r>
                <m:t>d</m:t>
              </m:r>
              <m:r>
                <m:t>r</m:t>
              </m:r>
            </m:sup>
          </m:sSup>
          <m:r>
            <m:rPr>
              <m:sty m:val="p"/>
            </m:rPr>
            <m:t>]</m:t>
          </m:r>
          <m:r>
            <m:rPr>
              <m:sty m:val="p"/>
            </m:rPr>
            <m:t>=</m:t>
          </m:r>
          <m:sSup>
            <m:e>
              <m:d>
                <m:dPr>
                  <m:begChr m:val="("/>
                  <m:sepChr m:val=""/>
                  <m:endChr m:val=")"/>
                  <m:grow/>
                </m:dPr>
                <m:e>
                  <m:f>
                    <m:fPr>
                      <m:type m:val="bar"/>
                    </m:fPr>
                    <m:num>
                      <m:r>
                        <m:t>β</m:t>
                      </m:r>
                    </m:num>
                    <m:den>
                      <m:r>
                        <m:t>β</m:t>
                      </m:r>
                      <m:r>
                        <m:rPr>
                          <m:sty m:val="p"/>
                        </m:rPr>
                        <m:t>+</m:t>
                      </m:r>
                      <m:r>
                        <m:t>d</m:t>
                      </m:r>
                    </m:den>
                  </m:f>
                </m:e>
              </m:d>
            </m:e>
            <m:sup>
              <m:r>
                <m:t>α</m:t>
              </m:r>
            </m:sup>
          </m:sSup>
          <m:r>
            <m:rPr>
              <m:sty m:val="p"/>
            </m:rPr>
            <m:t>,</m:t>
          </m:r>
        </m:oMath>
      </m:oMathPara>
    </w:p>
    <w:p>
      <w:pPr>
        <w:pStyle w:val="FirstParagraph"/>
      </w:pPr>
      <w:r>
        <w:t xml:space="preserve">also</w:t>
      </w:r>
    </w:p>
    <w:p>
      <w:pPr>
        <w:pStyle w:val="BodyText"/>
      </w:pPr>
      <m:oMathPara>
        <m:oMathParaPr>
          <m:jc m:val="center"/>
        </m:oMathParaPr>
        <m:oMath>
          <m:r>
            <m:rPr>
              <m:scr m:val="double-struck"/>
              <m:sty m:val="p"/>
            </m:rPr>
            <m:t>E</m:t>
          </m:r>
          <m:r>
            <m:rPr>
              <m:sty m:val="p"/>
            </m:rPr>
            <m:t>[</m:t>
          </m:r>
          <m:r>
            <m:t>P</m:t>
          </m:r>
          <m:r>
            <m:rPr>
              <m:sty m:val="p"/>
            </m:rPr>
            <m:t>]</m:t>
          </m:r>
          <m:r>
            <m:rPr>
              <m:sty m:val="p"/>
            </m:rPr>
            <m:t>=</m:t>
          </m:r>
          <m:r>
            <m:t>1</m:t>
          </m:r>
          <m:r>
            <m:rPr>
              <m:sty m:val="p"/>
            </m:rPr>
            <m:t>−</m:t>
          </m:r>
          <m:sSup>
            <m:e>
              <m:d>
                <m:dPr>
                  <m:begChr m:val="("/>
                  <m:sepChr m:val=""/>
                  <m:endChr m:val=")"/>
                  <m:grow/>
                </m:dPr>
                <m:e>
                  <m:f>
                    <m:fPr>
                      <m:type m:val="bar"/>
                    </m:fPr>
                    <m:num>
                      <m:r>
                        <m:t>β</m:t>
                      </m:r>
                    </m:num>
                    <m:den>
                      <m:r>
                        <m:t>β</m:t>
                      </m:r>
                      <m:r>
                        <m:rPr>
                          <m:sty m:val="p"/>
                        </m:rPr>
                        <m:t>+</m:t>
                      </m:r>
                      <m:r>
                        <m:t>d</m:t>
                      </m:r>
                    </m:den>
                  </m:f>
                </m:e>
              </m:d>
            </m:e>
            <m:sup>
              <m:r>
                <m:t>α</m:t>
              </m:r>
            </m:sup>
          </m:sSup>
          <m:r>
            <m:rPr>
              <m:sty m:val="p"/>
            </m:rPr>
            <m:t>.</m:t>
          </m:r>
        </m:oMath>
      </m:oMathPara>
    </w:p>
    <w:p>
      <w:pPr>
        <w:pStyle w:val="FirstParagraph"/>
      </w:pPr>
      <w:r>
        <w:t xml:space="preserve">Dieses Beispiel zeigt, warum Parametersicherheit vor der nichtlinearen Transformation propagiert werden muss.</w:t>
      </w:r>
    </w:p>
    <w:bookmarkEnd w:id="75"/>
    <w:bookmarkEnd w:id="76"/>
    <w:bookmarkStart w:id="80" w:name="X080c2aec6153a77581a4aaaab9f19438be020d7"/>
    <w:p>
      <w:pPr>
        <w:pStyle w:val="Heading1"/>
      </w:pPr>
      <w:r>
        <w:rPr>
          <w:rStyle w:val="SectionNumber"/>
        </w:rPr>
        <w:t xml:space="preserve">11</w:t>
      </w:r>
      <w:r>
        <w:tab/>
      </w:r>
      <w:r>
        <w:t xml:space="preserve">10. Generalisierte Risk Engine und Domain Model Adapters</w:t>
      </w:r>
    </w:p>
    <w:bookmarkStart w:id="77" w:name="adaptervertrag"/>
    <w:p>
      <w:pPr>
        <w:pStyle w:val="Heading2"/>
      </w:pPr>
      <w:r>
        <w:rPr>
          <w:rStyle w:val="SectionNumber"/>
        </w:rPr>
        <w:t xml:space="preserve">11.1</w:t>
      </w:r>
      <w:r>
        <w:tab/>
      </w:r>
      <w:r>
        <w:t xml:space="preserve">10.1 Adaptervertrag</w:t>
      </w:r>
    </w:p>
    <w:p>
      <w:pPr>
        <w:pStyle w:val="FirstParagraph"/>
      </w:pPr>
      <w:r>
        <w:t xml:space="preserve">Jeder Adapter liefert:</w:t>
      </w:r>
    </w:p>
    <w:p>
      <w:pPr>
        <w:pStyle w:val="Compact"/>
        <w:numPr>
          <w:ilvl w:val="0"/>
          <w:numId w:val="1008"/>
        </w:numPr>
      </w:pPr>
      <w:r>
        <w:t xml:space="preserve">Exposition mit Einheit, Zeitraum und Population;</w:t>
      </w:r>
    </w:p>
    <w:p>
      <w:pPr>
        <w:pStyle w:val="Compact"/>
        <w:numPr>
          <w:ilvl w:val="0"/>
          <w:numId w:val="1008"/>
        </w:numPr>
      </w:pPr>
      <w:r>
        <w:t xml:space="preserve">Ereignismodell und Ereignisdefinition;</w:t>
      </w:r>
    </w:p>
    <w:p>
      <w:pPr>
        <w:pStyle w:val="Compact"/>
        <w:numPr>
          <w:ilvl w:val="0"/>
          <w:numId w:val="1008"/>
        </w:numPr>
      </w:pPr>
      <w:r>
        <w:t xml:space="preserve">bedingtes Endpunktmodell;</w:t>
      </w:r>
    </w:p>
    <w:p>
      <w:pPr>
        <w:pStyle w:val="Compact"/>
        <w:numPr>
          <w:ilvl w:val="0"/>
          <w:numId w:val="1008"/>
        </w:numPr>
      </w:pPr>
      <w:r>
        <w:t xml:space="preserve">Barrieren und Zielkanäle;</w:t>
      </w:r>
    </w:p>
    <w:p>
      <w:pPr>
        <w:pStyle w:val="Compact"/>
        <w:numPr>
          <w:ilvl w:val="0"/>
          <w:numId w:val="1008"/>
        </w:numPr>
      </w:pPr>
      <w:r>
        <w:t xml:space="preserve">gemeinsame Parameterziehungen oder Verteilungen;</w:t>
      </w:r>
    </w:p>
    <w:p>
      <w:pPr>
        <w:pStyle w:val="Compact"/>
        <w:numPr>
          <w:ilvl w:val="0"/>
          <w:numId w:val="1008"/>
        </w:numPr>
      </w:pPr>
      <w:r>
        <w:t xml:space="preserve">Evidence-Gate-Status;</w:t>
      </w:r>
    </w:p>
    <w:p>
      <w:pPr>
        <w:pStyle w:val="Compact"/>
        <w:numPr>
          <w:ilvl w:val="0"/>
          <w:numId w:val="1008"/>
        </w:numPr>
      </w:pPr>
      <w:r>
        <w:t xml:space="preserve">Gültigkeits- und Extrapolationsbereich;</w:t>
      </w:r>
    </w:p>
    <w:p>
      <w:pPr>
        <w:pStyle w:val="Compact"/>
        <w:numPr>
          <w:ilvl w:val="0"/>
          <w:numId w:val="1008"/>
        </w:numPr>
      </w:pPr>
      <w:r>
        <w:t xml:space="preserve">Quellen- und Versionsprovenienz.</w:t>
      </w:r>
    </w:p>
    <w:bookmarkEnd w:id="77"/>
    <w:bookmarkStart w:id="78" w:name="aggregationsschnittstelle"/>
    <w:p>
      <w:pPr>
        <w:pStyle w:val="Heading2"/>
      </w:pPr>
      <w:r>
        <w:rPr>
          <w:rStyle w:val="SectionNumber"/>
        </w:rPr>
        <w:t xml:space="preserve">11.2</w:t>
      </w:r>
      <w:r>
        <w:tab/>
      </w:r>
      <w:r>
        <w:t xml:space="preserve">10.2 Aggregationsschnittstelle</w:t>
      </w:r>
    </w:p>
    <w:p>
      <w:pPr>
        <w:pStyle w:val="FirstParagraph"/>
      </w:pPr>
      <w:r>
        <w:t xml:space="preserve">Formal liefert Adapter</w:t>
      </w:r>
      <w:r>
        <w:t xml:space="preserve"> </w:t>
      </w:r>
      <m:oMath>
        <m:r>
          <m:t>d</m:t>
        </m:r>
      </m:oMath>
      <w:r>
        <w:t xml:space="preserve"> </w:t>
      </w:r>
      <w:r>
        <w:t xml:space="preserve">einen Zufallsvektor</w:t>
      </w:r>
    </w:p>
    <w:p>
      <w:pPr>
        <w:pStyle w:val="BodyText"/>
      </w:pPr>
      <m:oMathPara>
        <m:oMathParaPr>
          <m:jc m:val="center"/>
        </m:oMathParaPr>
        <m:oMath>
          <m:sSub>
            <m:e>
              <m:r>
                <m:rPr>
                  <m:sty m:val="b"/>
                </m:rPr>
                <m:t>H</m:t>
              </m:r>
            </m:e>
            <m:sub>
              <m:r>
                <m:t>d</m:t>
              </m:r>
            </m:sub>
          </m:sSub>
          <m:r>
            <m:rPr>
              <m:sty m:val="p"/>
            </m:rPr>
            <m:t>=</m:t>
          </m:r>
          <m:r>
            <m:rPr>
              <m:sty m:val="p"/>
            </m:rPr>
            <m:t>(</m:t>
          </m:r>
          <m:sSub>
            <m:e>
              <m:r>
                <m:t>H</m:t>
              </m:r>
            </m:e>
            <m:sub>
              <m:r>
                <m:t>d</m:t>
              </m:r>
              <m:r>
                <m:t>1</m:t>
              </m:r>
            </m:sub>
          </m:sSub>
          <m:r>
            <m:rPr>
              <m:sty m:val="p"/>
            </m:rPr>
            <m:t>,</m:t>
          </m:r>
          <m:r>
            <m:rPr>
              <m:sty m:val="p"/>
            </m:rPr>
            <m:t>…</m:t>
          </m:r>
          <m:r>
            <m:rPr>
              <m:sty m:val="p"/>
            </m:rPr>
            <m:t>,</m:t>
          </m:r>
          <m:sSub>
            <m:e>
              <m:r>
                <m:t>H</m:t>
              </m:r>
            </m:e>
            <m:sub>
              <m:r>
                <m:t>d</m:t>
              </m:r>
              <m:r>
                <m:t>Q</m:t>
              </m:r>
            </m:sub>
          </m:sSub>
          <m:sSup>
            <m:e>
              <m:r>
                <m:rPr>
                  <m:sty m:val="p"/>
                </m:rPr>
                <m:t>)</m:t>
              </m:r>
            </m:e>
            <m:sup>
              <m:r>
                <m:rPr>
                  <m:sty m:val="p"/>
                </m:rPr>
                <m:t>⊤</m:t>
              </m:r>
            </m:sup>
          </m:sSup>
          <m:r>
            <m:rPr>
              <m:sty m:val="p"/>
            </m:rPr>
            <m:t>.</m:t>
          </m:r>
        </m:oMath>
      </m:oMathPara>
    </w:p>
    <w:p>
      <w:pPr>
        <w:pStyle w:val="FirstParagraph"/>
      </w:pPr>
      <w:r>
        <w:t xml:space="preserve">Die Engine berechnet</w:t>
      </w:r>
    </w:p>
    <w:p>
      <w:pPr>
        <w:pStyle w:val="BodyText"/>
      </w:pPr>
      <m:oMathPara>
        <m:oMathParaPr>
          <m:jc m:val="center"/>
        </m:oMathParaPr>
        <m:oMath>
          <m:sSub>
            <m:e>
              <m:r>
                <m:rPr>
                  <m:sty m:val="b"/>
                </m:rPr>
                <m:t>H</m:t>
              </m:r>
            </m:e>
            <m:sub>
              <m:r>
                <m:rPr>
                  <m:sty m:val="p"/>
                </m:rPr>
                <m:t>d</m:t>
              </m:r>
              <m:r>
                <m:rPr>
                  <m:sty m:val="p"/>
                </m:rPr>
                <m:t>a</m:t>
              </m:r>
              <m:r>
                <m:rPr>
                  <m:sty m:val="p"/>
                </m:rPr>
                <m:t>y</m:t>
              </m:r>
            </m:sub>
          </m:sSub>
          <m:r>
            <m:rPr>
              <m:sty m:val="p"/>
            </m:rPr>
            <m:t>=</m:t>
          </m:r>
          <m:sSub>
            <m:e>
              <m:r>
                <m:rPr>
                  <m:sty m:val="b"/>
                </m:rPr>
                <m:t>H</m:t>
              </m:r>
            </m:e>
            <m:sub>
              <m:r>
                <m:rPr>
                  <m:sty m:val="p"/>
                </m:rPr>
                <m:t>b</m:t>
              </m:r>
              <m:r>
                <m:rPr>
                  <m:sty m:val="p"/>
                </m:rPr>
                <m:t>a</m:t>
              </m:r>
              <m:r>
                <m:rPr>
                  <m:sty m:val="p"/>
                </m:rPr>
                <m:t>s</m:t>
              </m:r>
              <m:r>
                <m:rPr>
                  <m:sty m:val="p"/>
                </m:rPr>
                <m:t>e</m:t>
              </m:r>
            </m:sub>
          </m:sSub>
          <m:r>
            <m:rPr>
              <m:sty m:val="p"/>
            </m:rPr>
            <m:t>+</m:t>
          </m:r>
          <m:nary>
            <m:naryPr>
              <m:chr m:val="∑"/>
              <m:limLoc m:val="undOvr"/>
              <m:subHide m:val="off"/>
              <m:supHide m:val="on"/>
            </m:naryPr>
            <m:sub>
              <m:r>
                <m:t>d</m:t>
              </m:r>
            </m:sub>
            <m:sup>
              <m:r>
                <m:t>​</m:t>
              </m:r>
            </m:sup>
            <m:e>
              <m:sSub>
                <m:e>
                  <m:r>
                    <m:rPr>
                      <m:sty m:val="b"/>
                    </m:rPr>
                    <m:t>H</m:t>
                  </m:r>
                </m:e>
                <m:sub>
                  <m:r>
                    <m:t>d</m:t>
                  </m:r>
                </m:sub>
              </m:sSub>
            </m:e>
          </m:nary>
          <m:r>
            <m:rPr>
              <m:sty m:val="p"/>
            </m:rPr>
            <m:t>,</m:t>
          </m:r>
        </m:oMath>
      </m:oMathPara>
    </w:p>
    <w:p>
      <w:pPr>
        <w:pStyle w:val="FirstParagraph"/>
      </w:pPr>
      <w:r>
        <w:t xml:space="preserve">und komponentenweise</w:t>
      </w:r>
    </w:p>
    <w:p>
      <w:pPr>
        <w:pStyle w:val="BodyText"/>
      </w:pPr>
      <m:oMathPara>
        <m:oMathParaPr>
          <m:jc m:val="center"/>
        </m:oMathParaPr>
        <m:oMath>
          <m:sSub>
            <m:e>
              <m:r>
                <m:rPr>
                  <m:sty m:val="b"/>
                </m:rPr>
                <m:t>P</m:t>
              </m:r>
            </m:e>
            <m:sub>
              <m:r>
                <m:rPr>
                  <m:sty m:val="p"/>
                </m:rPr>
                <m:t>d</m:t>
              </m:r>
              <m:r>
                <m:rPr>
                  <m:sty m:val="p"/>
                </m:rPr>
                <m:t>a</m:t>
              </m:r>
              <m:r>
                <m:rPr>
                  <m:sty m:val="p"/>
                </m:rPr>
                <m:t>y</m:t>
              </m:r>
            </m:sub>
          </m:sSub>
          <m:r>
            <m:rPr>
              <m:sty m:val="p"/>
            </m:rPr>
            <m:t>=</m:t>
          </m:r>
          <m:r>
            <m:rPr>
              <m:sty m:val="b"/>
            </m:rPr>
            <m:t>1</m:t>
          </m:r>
          <m:r>
            <m:rPr>
              <m:sty m:val="p"/>
            </m:rPr>
            <m:t>−</m:t>
          </m:r>
          <m:r>
            <m:rPr>
              <m:sty m:val="p"/>
            </m:rPr>
            <m:t>exp</m:t>
          </m:r>
          <m:r>
            <m:rPr>
              <m:sty m:val="p"/>
            </m:rPr>
            <m:t>(</m:t>
          </m:r>
          <m:r>
            <m:rPr>
              <m:sty m:val="p"/>
            </m:rPr>
            <m:t>−</m:t>
          </m:r>
          <m:sSub>
            <m:e>
              <m:r>
                <m:rPr>
                  <m:sty m:val="b"/>
                </m:rPr>
                <m:t>H</m:t>
              </m:r>
            </m:e>
            <m:sub>
              <m:r>
                <m:rPr>
                  <m:sty m:val="p"/>
                </m:rPr>
                <m:t>d</m:t>
              </m:r>
              <m:r>
                <m:rPr>
                  <m:sty m:val="p"/>
                </m:rPr>
                <m:t>a</m:t>
              </m:r>
              <m:r>
                <m:rPr>
                  <m:sty m:val="p"/>
                </m:rPr>
                <m:t>y</m:t>
              </m:r>
            </m:sub>
          </m:sSub>
          <m:r>
            <m:rPr>
              <m:sty m:val="p"/>
            </m:rPr>
            <m:t>)</m:t>
          </m:r>
          <m:r>
            <m:rPr>
              <m:sty m:val="p"/>
            </m:rPr>
            <m:t>.</m:t>
          </m:r>
        </m:oMath>
      </m:oMathPara>
    </w:p>
    <w:p>
      <w:pPr>
        <w:pStyle w:val="FirstParagraph"/>
      </w:pPr>
      <w:r>
        <w:t xml:space="preserve">Bei konkurrierenden Endpunkten innerhalb desselben Ereignisses liefert der Adapter bereits eine kohärente gemeinsame Verteilung. Die Engine darf diese Endpunkte nicht nochmals als unabhängig behandeln.</w:t>
      </w:r>
    </w:p>
    <w:bookmarkEnd w:id="78"/>
    <w:bookmarkStart w:id="79" w:name="abhängigkeitsgraph"/>
    <w:p>
      <w:pPr>
        <w:pStyle w:val="Heading2"/>
      </w:pPr>
      <w:r>
        <w:rPr>
          <w:rStyle w:val="SectionNumber"/>
        </w:rPr>
        <w:t xml:space="preserve">11.3</w:t>
      </w:r>
      <w:r>
        <w:tab/>
      </w:r>
      <w:r>
        <w:t xml:space="preserve">10.3 Abhängigkeitsgraph</w:t>
      </w:r>
    </w:p>
    <w:p>
      <w:pPr>
        <w:pStyle w:val="FirstParagraph"/>
      </w:pPr>
      <w:r>
        <w:t xml:space="preserve">Ein gerichteter azyklischer Graph kann Strukturabhängigkeiten dokumentieren. Beispiel:</w:t>
      </w:r>
    </w:p>
    <w:p>
      <w:pPr>
        <w:pStyle w:val="BodyText"/>
      </w:pPr>
      <m:oMathPara>
        <m:oMathParaPr>
          <m:jc m:val="center"/>
        </m:oMathParaPr>
        <m:oMath>
          <m:r>
            <m:rPr>
              <m:nor/>
              <m:sty m:val="p"/>
            </m:rPr>
            <m:t>Fahrzeugalter</m:t>
          </m:r>
          <m:r>
            <m:rPr>
              <m:sty m:val="p"/>
            </m:rPr>
            <m:t>→</m:t>
          </m:r>
          <m:r>
            <m:rPr>
              <m:nor/>
              <m:sty m:val="p"/>
            </m:rPr>
            <m:t>Assistenzsysteme</m:t>
          </m:r>
          <m:r>
            <m:rPr>
              <m:sty m:val="p"/>
            </m:rPr>
            <m:t>→</m:t>
          </m:r>
          <m:r>
            <m:rPr>
              <m:nor/>
              <m:sty m:val="p"/>
            </m:rPr>
            <m:t>Unfalltyp</m:t>
          </m:r>
          <m:r>
            <m:rPr>
              <m:sty m:val="p"/>
            </m:rPr>
            <m:t>,</m:t>
          </m:r>
        </m:oMath>
      </m:oMathPara>
    </w:p>
    <w:p>
      <w:pPr>
        <w:pStyle w:val="FirstParagraph"/>
      </w:pPr>
      <m:oMathPara>
        <m:oMathParaPr>
          <m:jc m:val="center"/>
        </m:oMathParaPr>
        <m:oMath>
          <m:r>
            <m:rPr>
              <m:sty m:val="p"/>
            </m:rPr>
            <m:t>(</m:t>
          </m:r>
          <m:r>
            <m:rPr>
              <m:nor/>
              <m:sty m:val="p"/>
            </m:rPr>
            <m:t>Gurt</m:t>
          </m:r>
          <m:r>
            <m:rPr>
              <m:sty m:val="p"/>
            </m:rPr>
            <m:t>,</m:t>
          </m:r>
          <m:r>
            <m:rPr>
              <m:nor/>
              <m:sty m:val="p"/>
            </m:rPr>
            <m:t>Sitz</m:t>
          </m:r>
          <m:r>
            <m:rPr>
              <m:sty m:val="p"/>
            </m:rPr>
            <m:t>,</m:t>
          </m:r>
          <m:r>
            <m:rPr>
              <m:nor/>
              <m:sty m:val="p"/>
            </m:rPr>
            <m:t>Airbag</m:t>
          </m:r>
          <m:r>
            <m:rPr>
              <m:sty m:val="p"/>
            </m:rPr>
            <m:t>)</m:t>
          </m:r>
          <m:r>
            <m:rPr>
              <m:sty m:val="p"/>
            </m:rPr>
            <m:t>→</m:t>
          </m:r>
          <m:r>
            <m:rPr>
              <m:nor/>
              <m:sty m:val="p"/>
            </m:rPr>
            <m:t>Verletzungsschwere</m:t>
          </m:r>
          <m:r>
            <m:rPr>
              <m:sty m:val="p"/>
            </m:rPr>
            <m:t>.</m:t>
          </m:r>
        </m:oMath>
      </m:oMathPara>
    </w:p>
    <w:p>
      <w:pPr>
        <w:pStyle w:val="FirstParagraph"/>
      </w:pPr>
      <w:r>
        <w:t xml:space="preserve">Der Graph dient sowohl dem Modell als auch dem Evidence Gate. Zwei Koeffizienten aus demselben Datensatz sind nicht automatisch unabhängige Evidenz.</w:t>
      </w:r>
    </w:p>
    <w:bookmarkEnd w:id="79"/>
    <w:bookmarkEnd w:id="80"/>
    <w:bookmarkStart w:id="88" w:name="erweiterbare-risikodomänen"/>
    <w:p>
      <w:pPr>
        <w:pStyle w:val="Heading1"/>
      </w:pPr>
      <w:r>
        <w:rPr>
          <w:rStyle w:val="SectionNumber"/>
        </w:rPr>
        <w:t xml:space="preserve">12</w:t>
      </w:r>
      <w:r>
        <w:tab/>
      </w:r>
      <w:r>
        <w:t xml:space="preserve">11. Erweiterbare Risikodomänen</w:t>
      </w:r>
    </w:p>
    <w:bookmarkStart w:id="81" w:name="arbeitsunfälle"/>
    <w:p>
      <w:pPr>
        <w:pStyle w:val="Heading2"/>
      </w:pPr>
      <w:r>
        <w:rPr>
          <w:rStyle w:val="SectionNumber"/>
        </w:rPr>
        <w:t xml:space="preserve">12.1</w:t>
      </w:r>
      <w:r>
        <w:tab/>
      </w:r>
      <w:r>
        <w:t xml:space="preserve">11.1 Arbeitsunfälle</w:t>
      </w:r>
    </w:p>
    <w:p>
      <w:pPr>
        <w:pStyle w:val="FirstParagraph"/>
      </w:pPr>
      <w:r>
        <w:t xml:space="preserve">ESAW stellt harmonisierte Definitionen und Klassifikationen für Arbeitsunfälle bereit. Ein erster Adapter kann Ereignisse je Arbeitsstunde modellieren:</w:t>
      </w:r>
    </w:p>
    <w:p>
      <w:pPr>
        <w:pStyle w:val="BodyText"/>
      </w:pPr>
      <m:oMathPara>
        <m:oMathParaPr>
          <m:jc m:val="center"/>
        </m:oMathParaPr>
        <m:oMath>
          <m:sSub>
            <m:e>
              <m:r>
                <m:t>r</m:t>
              </m:r>
            </m:e>
            <m:sub>
              <m:r>
                <m:t>g</m:t>
              </m:r>
              <m:r>
                <m:t>q</m:t>
              </m:r>
            </m:sub>
          </m:sSub>
          <m:r>
            <m:rPr>
              <m:sty m:val="p"/>
            </m:rPr>
            <m:t>=</m:t>
          </m:r>
          <m:f>
            <m:fPr>
              <m:type m:val="bar"/>
            </m:fPr>
            <m:num>
              <m:sSub>
                <m:e>
                  <m:r>
                    <m:t>N</m:t>
                  </m:r>
                </m:e>
                <m:sub>
                  <m:r>
                    <m:t>g</m:t>
                  </m:r>
                  <m:r>
                    <m:t>q</m:t>
                  </m:r>
                </m:sub>
              </m:sSub>
            </m:num>
            <m:den>
              <m:sSub>
                <m:e>
                  <m:r>
                    <m:t>E</m:t>
                  </m:r>
                </m:e>
                <m:sub>
                  <m:r>
                    <m:t>g</m:t>
                  </m:r>
                </m:sub>
              </m:sSub>
            </m:den>
          </m:f>
          <m:r>
            <m:rPr>
              <m:sty m:val="p"/>
            </m:rPr>
            <m:t>,</m:t>
          </m:r>
        </m:oMath>
      </m:oMathPara>
    </w:p>
    <w:p>
      <w:pPr>
        <w:pStyle w:val="FirstParagraph"/>
      </w:pPr>
      <w:r>
        <w:t xml:space="preserve">wobei</w:t>
      </w:r>
      <w:r>
        <w:t xml:space="preserve"> </w:t>
      </w:r>
      <m:oMath>
        <m:r>
          <m:t>g</m:t>
        </m:r>
      </m:oMath>
      <w:r>
        <w:t xml:space="preserve"> </w:t>
      </w:r>
      <w:r>
        <w:t xml:space="preserve">Branche, Tätigkeit oder Gefahrenklasse bezeichnet. Ein hierarchisches Modell stabilisiert kleine Gruppen:</w:t>
      </w:r>
    </w:p>
    <w:p>
      <w:pPr>
        <w:pStyle w:val="BodyText"/>
      </w:pPr>
      <m:oMathPara>
        <m:oMathParaPr>
          <m:jc m:val="center"/>
        </m:oMathParaPr>
        <m:oMath>
          <m:r>
            <m:rPr>
              <m:sty m:val="p"/>
            </m:rPr>
            <m:t>log</m:t>
          </m:r>
          <m:sSub>
            <m:e>
              <m:r>
                <m:t>r</m:t>
              </m:r>
            </m:e>
            <m:sub>
              <m:r>
                <m:t>g</m:t>
              </m:r>
            </m:sub>
          </m:sSub>
          <m:r>
            <m:rPr>
              <m:sty m:val="p"/>
            </m:rPr>
            <m:t>∼</m:t>
          </m:r>
          <m:r>
            <m:rPr>
              <m:scr m:val="script"/>
              <m:sty m:val="p"/>
            </m:rPr>
            <m:t>N</m:t>
          </m:r>
          <m:r>
            <m:rPr>
              <m:sty m:val="p"/>
            </m:rPr>
            <m:t>(</m:t>
          </m:r>
          <m:sSub>
            <m:e>
              <m:r>
                <m:t>μ</m:t>
              </m:r>
            </m:e>
            <m:sub>
              <m:r>
                <m:rPr>
                  <m:sty m:val="p"/>
                </m:rPr>
                <m:t>s</m:t>
              </m:r>
              <m:r>
                <m:rPr>
                  <m:sty m:val="p"/>
                </m:rPr>
                <m:t>e</m:t>
              </m:r>
              <m:r>
                <m:rPr>
                  <m:sty m:val="p"/>
                </m:rPr>
                <m:t>c</m:t>
              </m:r>
              <m:r>
                <m:rPr>
                  <m:sty m:val="p"/>
                </m:rPr>
                <m:t>t</m:t>
              </m:r>
              <m:r>
                <m:rPr>
                  <m:sty m:val="p"/>
                </m:rPr>
                <m:t>o</m:t>
              </m:r>
              <m:r>
                <m:rPr>
                  <m:sty m:val="p"/>
                </m:rPr>
                <m:t>r</m:t>
              </m:r>
              <m:r>
                <m:rPr>
                  <m:sty m:val="p"/>
                </m:rPr>
                <m:t>(</m:t>
              </m:r>
              <m:r>
                <m:t>g</m:t>
              </m:r>
              <m:r>
                <m:rPr>
                  <m:sty m:val="p"/>
                </m:rPr>
                <m:t>)</m:t>
              </m:r>
            </m:sub>
          </m:sSub>
          <m:r>
            <m:rPr>
              <m:sty m:val="p"/>
            </m:rPr>
            <m:t>,</m:t>
          </m:r>
          <m:sSup>
            <m:e>
              <m:r>
                <m:t>τ</m:t>
              </m:r>
            </m:e>
            <m:sup>
              <m:r>
                <m:t>2</m:t>
              </m:r>
            </m:sup>
          </m:sSup>
          <m:r>
            <m:rPr>
              <m:sty m:val="p"/>
            </m:rPr>
            <m:t>)</m:t>
          </m:r>
          <m:r>
            <m:rPr>
              <m:sty m:val="p"/>
            </m:rPr>
            <m:t>.</m:t>
          </m:r>
        </m:oMath>
      </m:oMathPara>
    </w:p>
    <w:bookmarkEnd w:id="81"/>
    <w:bookmarkStart w:id="82" w:name="sportverletzungen"/>
    <w:p>
      <w:pPr>
        <w:pStyle w:val="Heading2"/>
      </w:pPr>
      <w:r>
        <w:rPr>
          <w:rStyle w:val="SectionNumber"/>
        </w:rPr>
        <w:t xml:space="preserve">12.2</w:t>
      </w:r>
      <w:r>
        <w:tab/>
      </w:r>
      <w:r>
        <w:t xml:space="preserve">11.2 Sportverletzungen</w:t>
      </w:r>
    </w:p>
    <w:p>
      <w:pPr>
        <w:pStyle w:val="FirstParagraph"/>
      </w:pPr>
      <w:r>
        <w:t xml:space="preserve">Das IOC-Konsensuspapier fordert standardisierte Verletzungsdefinitionen, Schweregrade, Athletenexposition und Risikodarstellung. Eine Inzidenzrate ist</w:t>
      </w:r>
    </w:p>
    <w:p>
      <w:pPr>
        <w:pStyle w:val="BodyText"/>
      </w:pPr>
      <m:oMathPara>
        <m:oMathParaPr>
          <m:jc m:val="center"/>
        </m:oMathParaPr>
        <m:oMath>
          <m:r>
            <m:t>I</m:t>
          </m:r>
          <m:r>
            <m:t>R</m:t>
          </m:r>
          <m:r>
            <m:rPr>
              <m:sty m:val="p"/>
            </m:rPr>
            <m:t>=</m:t>
          </m:r>
          <m:f>
            <m:fPr>
              <m:type m:val="bar"/>
            </m:fPr>
            <m:num>
              <m:sSub>
                <m:e>
                  <m:r>
                    <m:t>N</m:t>
                  </m:r>
                </m:e>
                <m:sub>
                  <m:r>
                    <m:rPr>
                      <m:sty m:val="p"/>
                    </m:rPr>
                    <m:t>i</m:t>
                  </m:r>
                  <m:r>
                    <m:rPr>
                      <m:sty m:val="p"/>
                    </m:rPr>
                    <m:t>n</m:t>
                  </m:r>
                  <m:r>
                    <m:rPr>
                      <m:sty m:val="p"/>
                    </m:rPr>
                    <m:t>j</m:t>
                  </m:r>
                  <m:r>
                    <m:rPr>
                      <m:sty m:val="p"/>
                    </m:rPr>
                    <m:t>u</m:t>
                  </m:r>
                  <m:r>
                    <m:rPr>
                      <m:sty m:val="p"/>
                    </m:rPr>
                    <m:t>r</m:t>
                  </m:r>
                  <m:r>
                    <m:rPr>
                      <m:sty m:val="p"/>
                    </m:rPr>
                    <m:t>y</m:t>
                  </m:r>
                </m:sub>
              </m:sSub>
            </m:num>
            <m:den>
              <m:sSub>
                <m:e>
                  <m:r>
                    <m:t>E</m:t>
                  </m:r>
                </m:e>
                <m:sub>
                  <m:r>
                    <m:rPr>
                      <m:sty m:val="p"/>
                    </m:rPr>
                    <m:t>a</m:t>
                  </m:r>
                  <m:r>
                    <m:rPr>
                      <m:sty m:val="p"/>
                    </m:rPr>
                    <m:t>t</m:t>
                  </m:r>
                  <m:r>
                    <m:rPr>
                      <m:sty m:val="p"/>
                    </m:rPr>
                    <m:t>h</m:t>
                  </m:r>
                  <m:r>
                    <m:rPr>
                      <m:sty m:val="p"/>
                    </m:rPr>
                    <m:t>l</m:t>
                  </m:r>
                  <m:r>
                    <m:rPr>
                      <m:sty m:val="p"/>
                    </m:rPr>
                    <m:t>e</m:t>
                  </m:r>
                  <m:r>
                    <m:rPr>
                      <m:sty m:val="p"/>
                    </m:rPr>
                    <m:t>t</m:t>
                  </m:r>
                  <m:r>
                    <m:rPr>
                      <m:sty m:val="p"/>
                    </m:rPr>
                    <m:t>e</m:t>
                  </m:r>
                  <m:r>
                    <m:rPr>
                      <m:sty m:val="p"/>
                    </m:rPr>
                    <m:t> </m:t>
                  </m:r>
                  <m:r>
                    <m:rPr>
                      <m:sty m:val="p"/>
                    </m:rPr>
                    <m:t>h</m:t>
                  </m:r>
                  <m:r>
                    <m:rPr>
                      <m:sty m:val="p"/>
                    </m:rPr>
                    <m:t>o</m:t>
                  </m:r>
                  <m:r>
                    <m:rPr>
                      <m:sty m:val="p"/>
                    </m:rPr>
                    <m:t>u</m:t>
                  </m:r>
                  <m:r>
                    <m:rPr>
                      <m:sty m:val="p"/>
                    </m:rPr>
                    <m:t>r</m:t>
                  </m:r>
                  <m:r>
                    <m:rPr>
                      <m:sty m:val="p"/>
                    </m:rPr>
                    <m:t>s</m:t>
                  </m:r>
                </m:sub>
              </m:sSub>
            </m:den>
          </m:f>
          <m:r>
            <m:rPr>
              <m:sty m:val="p"/>
            </m:rPr>
            <m:t>.</m:t>
          </m:r>
        </m:oMath>
      </m:oMathPara>
    </w:p>
    <w:p>
      <w:pPr>
        <w:pStyle w:val="FirstParagraph"/>
      </w:pPr>
      <w:r>
        <w:t xml:space="preserve">Für Training und Wettkampf:</w:t>
      </w:r>
    </w:p>
    <w:p>
      <w:pPr>
        <w:pStyle w:val="BodyText"/>
      </w:pPr>
      <m:oMathPara>
        <m:oMathParaPr>
          <m:jc m:val="center"/>
        </m:oMathParaPr>
        <m:oMath>
          <m:r>
            <m:rPr>
              <m:sty m:val="p"/>
            </m:rPr>
            <m:t>log</m:t>
          </m:r>
          <m:r>
            <m:t>r</m:t>
          </m:r>
          <m:r>
            <m:rPr>
              <m:sty m:val="p"/>
            </m:rPr>
            <m:t>=</m:t>
          </m:r>
          <m:sSub>
            <m:e>
              <m:r>
                <m:t>β</m:t>
              </m:r>
            </m:e>
            <m:sub>
              <m:r>
                <m:t>0</m:t>
              </m:r>
            </m:sub>
          </m:sSub>
          <m:r>
            <m:rPr>
              <m:sty m:val="p"/>
            </m:rPr>
            <m:t>+</m:t>
          </m:r>
          <m:sSub>
            <m:e>
              <m:r>
                <m:t>β</m:t>
              </m:r>
            </m:e>
            <m:sub>
              <m:r>
                <m:t>1</m:t>
              </m:r>
            </m:sub>
          </m:sSub>
          <m:sSub>
            <m:e>
              <m:r>
                <m:rPr>
                  <m:sty m:val="b"/>
                </m:rPr>
                <m:t>1</m:t>
              </m:r>
            </m:e>
            <m:sub>
              <m:r>
                <m:rPr>
                  <m:sty m:val="p"/>
                </m:rPr>
                <m:t>c</m:t>
              </m:r>
              <m:r>
                <m:rPr>
                  <m:sty m:val="p"/>
                </m:rPr>
                <m:t>o</m:t>
              </m:r>
              <m:r>
                <m:rPr>
                  <m:sty m:val="p"/>
                </m:rPr>
                <m:t>m</m:t>
              </m:r>
              <m:r>
                <m:rPr>
                  <m:sty m:val="p"/>
                </m:rPr>
                <m:t>p</m:t>
              </m:r>
              <m:r>
                <m:rPr>
                  <m:sty m:val="p"/>
                </m:rPr>
                <m:t>e</m:t>
              </m:r>
              <m:r>
                <m:rPr>
                  <m:sty m:val="p"/>
                </m:rPr>
                <m:t>t</m:t>
              </m:r>
              <m:r>
                <m:rPr>
                  <m:sty m:val="p"/>
                </m:rPr>
                <m:t>i</m:t>
              </m:r>
              <m:r>
                <m:rPr>
                  <m:sty m:val="p"/>
                </m:rPr>
                <m:t>t</m:t>
              </m:r>
              <m:r>
                <m:rPr>
                  <m:sty m:val="p"/>
                </m:rPr>
                <m:t>i</m:t>
              </m:r>
              <m:r>
                <m:rPr>
                  <m:sty m:val="p"/>
                </m:rPr>
                <m:t>o</m:t>
              </m:r>
              <m:r>
                <m:rPr>
                  <m:sty m:val="p"/>
                </m:rPr>
                <m:t>n</m:t>
              </m:r>
            </m:sub>
          </m:sSub>
          <m:r>
            <m:rPr>
              <m:sty m:val="p"/>
            </m:rPr>
            <m:t>+</m:t>
          </m:r>
          <m:sSub>
            <m:e>
              <m:r>
                <m:t>u</m:t>
              </m:r>
            </m:e>
            <m:sub>
              <m:r>
                <m:rPr>
                  <m:sty m:val="p"/>
                </m:rPr>
                <m:t>s</m:t>
              </m:r>
              <m:r>
                <m:rPr>
                  <m:sty m:val="p"/>
                </m:rPr>
                <m:t>p</m:t>
              </m:r>
              <m:r>
                <m:rPr>
                  <m:sty m:val="p"/>
                </m:rPr>
                <m:t>o</m:t>
              </m:r>
              <m:r>
                <m:rPr>
                  <m:sty m:val="p"/>
                </m:rPr>
                <m:t>r</m:t>
              </m:r>
              <m:r>
                <m:rPr>
                  <m:sty m:val="p"/>
                </m:rPr>
                <m:t>t</m:t>
              </m:r>
            </m:sub>
          </m:sSub>
          <m:r>
            <m:rPr>
              <m:sty m:val="p"/>
            </m:rPr>
            <m:t>.</m:t>
          </m:r>
        </m:oMath>
      </m:oMathPara>
    </w:p>
    <w:p>
      <w:pPr>
        <w:pStyle w:val="FirstParagraph"/>
      </w:pPr>
      <w:r>
        <w:t xml:space="preserve">Wiederholte Verletzungen erfordern Person-Level-Abhängigkeiten oder recurrent-event models.</w:t>
      </w:r>
    </w:p>
    <w:bookmarkEnd w:id="82"/>
    <w:bookmarkStart w:id="83" w:name="boxen-und-kampfsport"/>
    <w:p>
      <w:pPr>
        <w:pStyle w:val="Heading2"/>
      </w:pPr>
      <w:r>
        <w:rPr>
          <w:rStyle w:val="SectionNumber"/>
        </w:rPr>
        <w:t xml:space="preserve">12.3</w:t>
      </w:r>
      <w:r>
        <w:tab/>
      </w:r>
      <w:r>
        <w:t xml:space="preserve">11.3 Boxen und Kampfsport</w:t>
      </w:r>
    </w:p>
    <w:p>
      <w:pPr>
        <w:pStyle w:val="FirstParagraph"/>
      </w:pPr>
      <w:r>
        <w:t xml:space="preserve">Ein empirischer Startadapter unterscheidet Training und Kampf, Runden- oder Athletenzeit sowie Endpunkte. Eine trefferbasierte Aggregation</w:t>
      </w:r>
    </w:p>
    <w:p>
      <w:pPr>
        <w:pStyle w:val="BodyText"/>
      </w:pPr>
      <m:oMathPara>
        <m:oMathParaPr>
          <m:jc m:val="center"/>
        </m:oMathParaPr>
        <m:oMath>
          <m:r>
            <m:t>P</m:t>
          </m:r>
          <m:r>
            <m:rPr>
              <m:sty m:val="p"/>
            </m:rPr>
            <m:t>(</m:t>
          </m:r>
          <m:r>
            <m:t>K</m:t>
          </m:r>
          <m:r>
            <m:t>O</m:t>
          </m:r>
          <m:r>
            <m:rPr>
              <m:sty m:val="p"/>
            </m:rPr>
            <m:t>)</m:t>
          </m:r>
          <m:r>
            <m:rPr>
              <m:sty m:val="p"/>
            </m:rPr>
            <m:t>=</m:t>
          </m:r>
          <m:r>
            <m:t>1</m:t>
          </m:r>
          <m:r>
            <m:rPr>
              <m:sty m:val="p"/>
            </m:rPr>
            <m:t>−</m:t>
          </m:r>
          <m:nary>
            <m:naryPr>
              <m:chr m:val="∏"/>
              <m:limLoc m:val="undOvr"/>
              <m:subHide m:val="off"/>
              <m:supHide m:val="off"/>
            </m:naryPr>
            <m:sub>
              <m:r>
                <m:t>k</m:t>
              </m:r>
              <m:r>
                <m:rPr>
                  <m:sty m:val="p"/>
                </m:rPr>
                <m:t>=</m:t>
              </m:r>
              <m:r>
                <m:t>1</m:t>
              </m:r>
            </m:sub>
            <m:sup>
              <m:r>
                <m:t>N</m:t>
              </m:r>
            </m:sup>
            <m:e>
              <m:r>
                <m:rPr>
                  <m:sty m:val="p"/>
                </m:rPr>
                <m:t>[</m:t>
              </m:r>
            </m:e>
          </m:nary>
          <m:r>
            <m:t>1</m:t>
          </m:r>
          <m:r>
            <m:rPr>
              <m:sty m:val="p"/>
            </m:rPr>
            <m:t>−</m:t>
          </m:r>
          <m:r>
            <m:t>P</m:t>
          </m:r>
          <m:r>
            <m:rPr>
              <m:sty m:val="p"/>
            </m:rPr>
            <m:t>(</m:t>
          </m:r>
          <m:r>
            <m:t>K</m:t>
          </m:r>
          <m:r>
            <m:t>O</m:t>
          </m:r>
          <m:r>
            <m:rPr>
              <m:sty m:val="p"/>
            </m:rPr>
            <m:t>∣</m:t>
          </m:r>
          <m:sSub>
            <m:e>
              <m:r>
                <m:t>E</m:t>
              </m:r>
            </m:e>
            <m:sub>
              <m:r>
                <m:t>k</m:t>
              </m:r>
            </m:sub>
          </m:sSub>
          <m:r>
            <m:rPr>
              <m:sty m:val="p"/>
            </m:rPr>
            <m:t>)</m:t>
          </m:r>
          <m:r>
            <m:rPr>
              <m:sty m:val="p"/>
            </m:rPr>
            <m:t>]</m:t>
          </m:r>
        </m:oMath>
      </m:oMathPara>
    </w:p>
    <w:p>
      <w:pPr>
        <w:pStyle w:val="FirstParagraph"/>
      </w:pPr>
      <w:r>
        <w:t xml:space="preserve">ist nur verwendbar, wenn</w:t>
      </w:r>
      <w:r>
        <w:t xml:space="preserve"> </w:t>
      </w:r>
      <m:oMath>
        <m:r>
          <m:t>P</m:t>
        </m:r>
        <m:r>
          <m:rPr>
            <m:sty m:val="p"/>
          </m:rPr>
          <m:t>(</m:t>
        </m:r>
        <m:r>
          <m:t>K</m:t>
        </m:r>
        <m:r>
          <m:t>O</m:t>
        </m:r>
        <m:r>
          <m:rPr>
            <m:sty m:val="p"/>
          </m:rPr>
          <m:t>∣</m:t>
        </m:r>
        <m:r>
          <m:t>E</m:t>
        </m:r>
        <m:r>
          <m:rPr>
            <m:sty m:val="p"/>
          </m:rPr>
          <m:t>)</m:t>
        </m:r>
      </m:oMath>
      <w:r>
        <w:t xml:space="preserve"> </w:t>
      </w:r>
      <w:r>
        <w:t xml:space="preserve">empirisch identifiziert ist. Trefferenergie allein ist kein validierter individueller Endpunktparameter. Messfehler, Trefferort, Richtung, Schutz, vorherige Belastung und Selektionsmechanismen müssten berücksichtigt werden.</w:t>
      </w:r>
    </w:p>
    <w:bookmarkEnd w:id="83"/>
    <w:bookmarkStart w:id="84" w:name="radsport-und-mechanisches-versagen"/>
    <w:p>
      <w:pPr>
        <w:pStyle w:val="Heading2"/>
      </w:pPr>
      <w:r>
        <w:rPr>
          <w:rStyle w:val="SectionNumber"/>
        </w:rPr>
        <w:t xml:space="preserve">12.4</w:t>
      </w:r>
      <w:r>
        <w:tab/>
      </w:r>
      <w:r>
        <w:t xml:space="preserve">11.4 Radsport und mechanisches Versagen</w:t>
      </w:r>
    </w:p>
    <w:p>
      <w:pPr>
        <w:pStyle w:val="FirstParagraph"/>
      </w:pPr>
      <w:r>
        <w:t xml:space="preserve">Für Radsport sind beobachtete Sturz- und Verletzungsraten je Kilometer, Stunde oder Teilnehmertag der primäre Ansatz. Mechanisches Versagen kann als zusätzlicher Pfad auftreten:</w:t>
      </w:r>
    </w:p>
    <w:p>
      <w:pPr>
        <w:pStyle w:val="BodyText"/>
      </w:pPr>
      <m:oMathPara>
        <m:oMathParaPr>
          <m:jc m:val="center"/>
        </m:oMathParaPr>
        <m:oMath>
          <m:r>
            <m:t>P</m:t>
          </m:r>
          <m:r>
            <m:rPr>
              <m:sty m:val="p"/>
            </m:rPr>
            <m:t>(</m:t>
          </m:r>
          <m:r>
            <m:rPr>
              <m:sty m:val="p"/>
            </m:rPr>
            <m:t>i</m:t>
          </m:r>
          <m:r>
            <m:rPr>
              <m:sty m:val="p"/>
            </m:rPr>
            <m:t>n</m:t>
          </m:r>
          <m:r>
            <m:rPr>
              <m:sty m:val="p"/>
            </m:rPr>
            <m:t>j</m:t>
          </m:r>
          <m:r>
            <m:rPr>
              <m:sty m:val="p"/>
            </m:rPr>
            <m:t>u</m:t>
          </m:r>
          <m:r>
            <m:rPr>
              <m:sty m:val="p"/>
            </m:rPr>
            <m:t>r</m:t>
          </m:r>
          <m:r>
            <m:rPr>
              <m:sty m:val="p"/>
            </m:rPr>
            <m:t>y</m:t>
          </m:r>
          <m:r>
            <m:rPr>
              <m:sty m:val="p"/>
            </m:rPr>
            <m:t>)</m:t>
          </m:r>
          <m:r>
            <m:rPr>
              <m:sty m:val="p"/>
            </m:rPr>
            <m:t>=</m:t>
          </m:r>
          <m:r>
            <m:t>P</m:t>
          </m:r>
          <m:r>
            <m:rPr>
              <m:sty m:val="p"/>
            </m:rPr>
            <m:t>(</m:t>
          </m:r>
          <m:sSub>
            <m:e>
              <m:r>
                <m:t>C</m:t>
              </m:r>
            </m:e>
            <m:sub>
              <m:r>
                <m:rPr>
                  <m:sty m:val="p"/>
                </m:rPr>
                <m:t>b</m:t>
              </m:r>
              <m:r>
                <m:rPr>
                  <m:sty m:val="p"/>
                </m:rPr>
                <m:t>e</m:t>
              </m:r>
              <m:r>
                <m:rPr>
                  <m:sty m:val="p"/>
                </m:rPr>
                <m:t>h</m:t>
              </m:r>
              <m:r>
                <m:rPr>
                  <m:sty m:val="p"/>
                </m:rPr>
                <m:t>a</m:t>
              </m:r>
              <m:r>
                <m:rPr>
                  <m:sty m:val="p"/>
                </m:rPr>
                <m:t>v</m:t>
              </m:r>
              <m:r>
                <m:rPr>
                  <m:sty m:val="p"/>
                </m:rPr>
                <m:t>i</m:t>
              </m:r>
              <m:r>
                <m:rPr>
                  <m:sty m:val="p"/>
                </m:rPr>
                <m:t>o</m:t>
              </m:r>
              <m:r>
                <m:rPr>
                  <m:sty m:val="p"/>
                </m:rPr>
                <m:t>r</m:t>
              </m:r>
            </m:sub>
          </m:sSub>
          <m:r>
            <m:rPr>
              <m:sty m:val="p"/>
            </m:rPr>
            <m:t>)</m:t>
          </m:r>
          <m:r>
            <m:t>P</m:t>
          </m:r>
          <m:r>
            <m:rPr>
              <m:sty m:val="p"/>
            </m:rPr>
            <m:t>(</m:t>
          </m:r>
          <m:r>
            <m:t>Y</m:t>
          </m:r>
          <m:r>
            <m:rPr>
              <m:sty m:val="p"/>
            </m:rPr>
            <m:t>∣</m:t>
          </m:r>
          <m:sSub>
            <m:e>
              <m:r>
                <m:t>C</m:t>
              </m:r>
            </m:e>
            <m:sub>
              <m:r>
                <m:rPr>
                  <m:sty m:val="p"/>
                </m:rPr>
                <m:t>b</m:t>
              </m:r>
              <m:r>
                <m:rPr>
                  <m:sty m:val="p"/>
                </m:rPr>
                <m:t>e</m:t>
              </m:r>
              <m:r>
                <m:rPr>
                  <m:sty m:val="p"/>
                </m:rPr>
                <m:t>h</m:t>
              </m:r>
              <m:r>
                <m:rPr>
                  <m:sty m:val="p"/>
                </m:rPr>
                <m:t>a</m:t>
              </m:r>
              <m:r>
                <m:rPr>
                  <m:sty m:val="p"/>
                </m:rPr>
                <m:t>v</m:t>
              </m:r>
              <m:r>
                <m:rPr>
                  <m:sty m:val="p"/>
                </m:rPr>
                <m:t>i</m:t>
              </m:r>
              <m:r>
                <m:rPr>
                  <m:sty m:val="p"/>
                </m:rPr>
                <m:t>o</m:t>
              </m:r>
              <m:r>
                <m:rPr>
                  <m:sty m:val="p"/>
                </m:rPr>
                <m:t>r</m:t>
              </m:r>
            </m:sub>
          </m:sSub>
          <m:r>
            <m:rPr>
              <m:sty m:val="p"/>
            </m:rPr>
            <m:t>)</m:t>
          </m:r>
          <m:r>
            <m:rPr>
              <m:sty m:val="p"/>
            </m:rPr>
            <m:t>+</m:t>
          </m:r>
          <m:r>
            <m:t>P</m:t>
          </m:r>
          <m:r>
            <m:rPr>
              <m:sty m:val="p"/>
            </m:rPr>
            <m:t>(</m:t>
          </m:r>
          <m:sSub>
            <m:e>
              <m:r>
                <m:t>F</m:t>
              </m:r>
            </m:e>
            <m:sub>
              <m:r>
                <m:rPr>
                  <m:sty m:val="p"/>
                </m:rPr>
                <m:t>m</m:t>
              </m:r>
              <m:r>
                <m:rPr>
                  <m:sty m:val="p"/>
                </m:rPr>
                <m:t>a</m:t>
              </m:r>
              <m:r>
                <m:rPr>
                  <m:sty m:val="p"/>
                </m:rPr>
                <m:t>t</m:t>
              </m:r>
              <m:r>
                <m:rPr>
                  <m:sty m:val="p"/>
                </m:rPr>
                <m:t>e</m:t>
              </m:r>
              <m:r>
                <m:rPr>
                  <m:sty m:val="p"/>
                </m:rPr>
                <m:t>r</m:t>
              </m:r>
              <m:r>
                <m:rPr>
                  <m:sty m:val="p"/>
                </m:rPr>
                <m:t>i</m:t>
              </m:r>
              <m:r>
                <m:rPr>
                  <m:sty m:val="p"/>
                </m:rPr>
                <m:t>a</m:t>
              </m:r>
              <m:r>
                <m:rPr>
                  <m:sty m:val="p"/>
                </m:rPr>
                <m:t>l</m:t>
              </m:r>
            </m:sub>
          </m:sSub>
          <m:r>
            <m:rPr>
              <m:sty m:val="p"/>
            </m:rPr>
            <m:t>)</m:t>
          </m:r>
          <m:r>
            <m:t>P</m:t>
          </m:r>
          <m:r>
            <m:rPr>
              <m:sty m:val="p"/>
            </m:rPr>
            <m:t>(</m:t>
          </m:r>
          <m:r>
            <m:t>C</m:t>
          </m:r>
          <m:r>
            <m:rPr>
              <m:sty m:val="p"/>
            </m:rPr>
            <m:t>∣</m:t>
          </m:r>
          <m:sSub>
            <m:e>
              <m:r>
                <m:t>F</m:t>
              </m:r>
            </m:e>
            <m:sub>
              <m:r>
                <m:rPr>
                  <m:sty m:val="p"/>
                </m:rPr>
                <m:t>m</m:t>
              </m:r>
              <m:r>
                <m:rPr>
                  <m:sty m:val="p"/>
                </m:rPr>
                <m:t>a</m:t>
              </m:r>
              <m:r>
                <m:rPr>
                  <m:sty m:val="p"/>
                </m:rPr>
                <m:t>t</m:t>
              </m:r>
              <m:r>
                <m:rPr>
                  <m:sty m:val="p"/>
                </m:rPr>
                <m:t>e</m:t>
              </m:r>
              <m:r>
                <m:rPr>
                  <m:sty m:val="p"/>
                </m:rPr>
                <m:t>r</m:t>
              </m:r>
              <m:r>
                <m:rPr>
                  <m:sty m:val="p"/>
                </m:rPr>
                <m:t>i</m:t>
              </m:r>
              <m:r>
                <m:rPr>
                  <m:sty m:val="p"/>
                </m:rPr>
                <m:t>a</m:t>
              </m:r>
              <m:r>
                <m:rPr>
                  <m:sty m:val="p"/>
                </m:rPr>
                <m:t>l</m:t>
              </m:r>
            </m:sub>
          </m:sSub>
          <m:r>
            <m:rPr>
              <m:sty m:val="p"/>
            </m:rPr>
            <m:t>)</m:t>
          </m:r>
          <m:r>
            <m:t>P</m:t>
          </m:r>
          <m:r>
            <m:rPr>
              <m:sty m:val="p"/>
            </m:rPr>
            <m:t>(</m:t>
          </m:r>
          <m:r>
            <m:t>Y</m:t>
          </m:r>
          <m:r>
            <m:rPr>
              <m:sty m:val="p"/>
            </m:rPr>
            <m:t>∣</m:t>
          </m:r>
          <m:r>
            <m:t>C</m:t>
          </m:r>
          <m:r>
            <m:rPr>
              <m:sty m:val="p"/>
            </m:rPr>
            <m:t>,</m:t>
          </m:r>
          <m:r>
            <m:t>F</m:t>
          </m:r>
          <m:r>
            <m:rPr>
              <m:sty m:val="p"/>
            </m:rPr>
            <m:t>)</m:t>
          </m:r>
          <m:r>
            <m:rPr>
              <m:sty m:val="p"/>
            </m:rPr>
            <m:t>.</m:t>
          </m:r>
        </m:oMath>
      </m:oMathPara>
    </w:p>
    <w:p>
      <w:pPr>
        <w:pStyle w:val="FirstParagraph"/>
      </w:pPr>
      <w:r>
        <w:t xml:space="preserve">S-N-Kurven oder Miner-Regel schätzen Bauteilschädigung, nicht unmittelbar Personenschaden. Die gesamte Kette muss validiert werden.</w:t>
      </w:r>
    </w:p>
    <w:bookmarkEnd w:id="84"/>
    <w:bookmarkStart w:id="85" w:name="bewaffnete-konflikte"/>
    <w:p>
      <w:pPr>
        <w:pStyle w:val="Heading2"/>
      </w:pPr>
      <w:r>
        <w:rPr>
          <w:rStyle w:val="SectionNumber"/>
        </w:rPr>
        <w:t xml:space="preserve">12.5</w:t>
      </w:r>
      <w:r>
        <w:tab/>
      </w:r>
      <w:r>
        <w:t xml:space="preserve">11.5 Bewaffnete Konflikte</w:t>
      </w:r>
    </w:p>
    <w:p>
      <w:pPr>
        <w:pStyle w:val="FirstParagraph"/>
      </w:pPr>
      <w:r>
        <w:t xml:space="preserve">UCDP GED liefert zeitlich und räumlich disaggregierte Ereignisse organisierter Gewalt; ACLED dokumentiert politische Gewalt und Konfliktexposition. Für individuelles Risiko ist ein Personentag-Nenner erforderlich:</w:t>
      </w:r>
    </w:p>
    <w:p>
      <w:pPr>
        <w:pStyle w:val="BodyText"/>
      </w:pPr>
      <m:oMathPara>
        <m:oMathParaPr>
          <m:jc m:val="center"/>
        </m:oMathParaPr>
        <m:oMath>
          <m:sSub>
            <m:e>
              <m:r>
                <m:t>r</m:t>
              </m:r>
            </m:e>
            <m:sub>
              <m:r>
                <m:t>g</m:t>
              </m:r>
              <m:r>
                <m:t>t</m:t>
              </m:r>
              <m:r>
                <m:t>r</m:t>
              </m:r>
            </m:sub>
          </m:sSub>
          <m:r>
            <m:rPr>
              <m:sty m:val="p"/>
            </m:rPr>
            <m:t>=</m:t>
          </m:r>
          <m:f>
            <m:fPr>
              <m:type m:val="bar"/>
            </m:fPr>
            <m:num>
              <m:sSub>
                <m:e>
                  <m:r>
                    <m:t>D</m:t>
                  </m:r>
                </m:e>
                <m:sub>
                  <m:r>
                    <m:t>g</m:t>
                  </m:r>
                  <m:r>
                    <m:t>t</m:t>
                  </m:r>
                  <m:r>
                    <m:t>r</m:t>
                  </m:r>
                </m:sub>
              </m:sSub>
            </m:num>
            <m:den>
              <m:r>
                <m:t>P</m:t>
              </m:r>
              <m:sSub>
                <m:e>
                  <m:r>
                    <m:t>T</m:t>
                  </m:r>
                </m:e>
                <m:sub>
                  <m:r>
                    <m:t>g</m:t>
                  </m:r>
                  <m:r>
                    <m:t>t</m:t>
                  </m:r>
                  <m:r>
                    <m:t>r</m:t>
                  </m:r>
                </m:sub>
              </m:sSub>
            </m:den>
          </m:f>
          <m:r>
            <m:rPr>
              <m:sty m:val="p"/>
            </m:rPr>
            <m:t>,</m:t>
          </m:r>
        </m:oMath>
      </m:oMathPara>
    </w:p>
    <w:p>
      <w:pPr>
        <w:pStyle w:val="FirstParagraph"/>
      </w:pPr>
      <w:r>
        <w:t xml:space="preserve">mit Gebiet</w:t>
      </w:r>
      <w:r>
        <w:t xml:space="preserve"> </w:t>
      </w:r>
      <m:oMath>
        <m:r>
          <m:t>g</m:t>
        </m:r>
      </m:oMath>
      <w:r>
        <w:t xml:space="preserve">, Zeitraum</w:t>
      </w:r>
      <w:r>
        <w:t xml:space="preserve"> </w:t>
      </w:r>
      <m:oMath>
        <m:r>
          <m:t>t</m:t>
        </m:r>
      </m:oMath>
      <w:r>
        <w:t xml:space="preserve"> </w:t>
      </w:r>
      <w:r>
        <w:t xml:space="preserve">und Expositionsrolle</w:t>
      </w:r>
      <w:r>
        <w:t xml:space="preserve"> </w:t>
      </w:r>
      <m:oMath>
        <m:r>
          <m:t>r</m:t>
        </m:r>
      </m:oMath>
      <w:r>
        <w:t xml:space="preserve">. Die individuelle Wahrscheinlichkeit bei Aufenthalt</w:t>
      </w:r>
      <w:r>
        <w:t xml:space="preserve"> </w:t>
      </w:r>
      <m:oMath>
        <m:r>
          <m:t>e</m:t>
        </m:r>
      </m:oMath>
      <w:r>
        <w:t xml:space="preserve"> </w:t>
      </w:r>
      <w:r>
        <w:t xml:space="preserve">lautet</w:t>
      </w:r>
    </w:p>
    <w:p>
      <w:pPr>
        <w:pStyle w:val="BodyText"/>
      </w:pPr>
      <m:oMathPara>
        <m:oMathParaPr>
          <m:jc m:val="center"/>
        </m:oMathParaPr>
        <m:oMath>
          <m:sSub>
            <m:e>
              <m:r>
                <m:t>P</m:t>
              </m:r>
            </m:e>
            <m:sub>
              <m:r>
                <m:rPr>
                  <m:sty m:val="p"/>
                </m:rPr>
                <m:t>d</m:t>
              </m:r>
              <m:r>
                <m:rPr>
                  <m:sty m:val="p"/>
                </m:rPr>
                <m:t>e</m:t>
              </m:r>
              <m:r>
                <m:rPr>
                  <m:sty m:val="p"/>
                </m:rPr>
                <m:t>a</m:t>
              </m:r>
              <m:r>
                <m:rPr>
                  <m:sty m:val="p"/>
                </m:rPr>
                <m:t>t</m:t>
              </m:r>
              <m:r>
                <m:rPr>
                  <m:sty m:val="p"/>
                </m:rPr>
                <m:t>h</m:t>
              </m:r>
            </m:sub>
          </m:sSub>
          <m:r>
            <m:rPr>
              <m:sty m:val="p"/>
            </m:rPr>
            <m:t>=</m:t>
          </m:r>
          <m:r>
            <m:t>1</m:t>
          </m:r>
          <m:r>
            <m:rPr>
              <m:sty m:val="p"/>
            </m:rPr>
            <m:t>−</m:t>
          </m:r>
          <m:sSup>
            <m:e>
              <m:r>
                <m:t>e</m:t>
              </m:r>
            </m:e>
            <m:sup>
              <m:r>
                <m:rPr>
                  <m:sty m:val="p"/>
                </m:rPr>
                <m:t>−</m:t>
              </m:r>
              <m:r>
                <m:t>e</m:t>
              </m:r>
              <m:sSub>
                <m:e>
                  <m:r>
                    <m:t>r</m:t>
                  </m:r>
                </m:e>
                <m:sub>
                  <m:r>
                    <m:t>g</m:t>
                  </m:r>
                  <m:r>
                    <m:t>t</m:t>
                  </m:r>
                  <m:r>
                    <m:t>r</m:t>
                  </m:r>
                </m:sub>
              </m:sSub>
            </m:sup>
          </m:sSup>
          <m:r>
            <m:rPr>
              <m:sty m:val="p"/>
            </m:rPr>
            <m:t>.</m:t>
          </m:r>
        </m:oMath>
      </m:oMathPara>
    </w:p>
    <w:p>
      <w:pPr>
        <w:pStyle w:val="FirstParagraph"/>
      </w:pPr>
      <w:r>
        <w:t xml:space="preserve">Die Unsicherheit umfasst Todeszahlschätzungen, Geokoordinaten, Meldeverzug, Bevölkerungsschätzungen, Fluchtbewegungen und Rollenheterogenität. Konfliktdaten rechtfertigen keinen einfachen nationalen Pro-Kopf-Risikowert.</w:t>
      </w:r>
    </w:p>
    <w:bookmarkEnd w:id="85"/>
    <w:bookmarkStart w:id="86" w:name="brände"/>
    <w:p>
      <w:pPr>
        <w:pStyle w:val="Heading2"/>
      </w:pPr>
      <w:r>
        <w:rPr>
          <w:rStyle w:val="SectionNumber"/>
        </w:rPr>
        <w:t xml:space="preserve">12.6</w:t>
      </w:r>
      <w:r>
        <w:tab/>
      </w:r>
      <w:r>
        <w:t xml:space="preserve">11.6 Brände</w:t>
      </w:r>
    </w:p>
    <w:p>
      <w:pPr>
        <w:pStyle w:val="FirstParagraph"/>
      </w:pPr>
      <w:r>
        <w:t xml:space="preserve">USFA-NFIRS und NFPA-Berichte enthalten Brandereignisse, Todesfälle, Verletzungen, Rauchmelder und Sprinkler. Ein Modell benötigt einen geeigneten Expositionsnenner, etwa Haushaltsjahre oder Personenzeit in Gebäudeklassen. Die Ereigniskette lautet</w:t>
      </w:r>
    </w:p>
    <w:p>
      <w:pPr>
        <w:pStyle w:val="BodyText"/>
      </w:pPr>
      <m:oMathPara>
        <m:oMathParaPr>
          <m:jc m:val="center"/>
        </m:oMathParaPr>
        <m:oMath>
          <m:r>
            <m:rPr>
              <m:nor/>
              <m:sty m:val="p"/>
            </m:rPr>
            <m:t>Gebäudezeit</m:t>
          </m:r>
          <m:r>
            <m:rPr>
              <m:sty m:val="p"/>
            </m:rPr>
            <m:t>→</m:t>
          </m:r>
          <m:r>
            <m:rPr>
              <m:nor/>
              <m:sty m:val="p"/>
            </m:rPr>
            <m:t>Brand</m:t>
          </m:r>
          <m:r>
            <m:rPr>
              <m:sty m:val="p"/>
            </m:rPr>
            <m:t>→</m:t>
          </m:r>
          <m:r>
            <m:rPr>
              <m:nor/>
              <m:sty m:val="p"/>
            </m:rPr>
            <m:t>Ausbreitung</m:t>
          </m:r>
          <m:r>
            <m:rPr>
              <m:sty m:val="p"/>
            </m:rPr>
            <m:t>→</m:t>
          </m:r>
          <m:r>
            <m:rPr>
              <m:nor/>
              <m:sty m:val="p"/>
            </m:rPr>
            <m:t>Exposition</m:t>
          </m:r>
          <m:r>
            <m:rPr>
              <m:sty m:val="p"/>
            </m:rPr>
            <m:t>→</m:t>
          </m:r>
          <m:r>
            <m:rPr>
              <m:nor/>
              <m:sty m:val="p"/>
            </m:rPr>
            <m:t>Verletzung/Tod</m:t>
          </m:r>
          <m:r>
            <m:rPr>
              <m:sty m:val="p"/>
            </m:rPr>
            <m:t>.</m:t>
          </m:r>
        </m:oMath>
      </m:oMathPara>
    </w:p>
    <w:p>
      <w:pPr>
        <w:pStyle w:val="FirstParagraph"/>
      </w:pPr>
      <w:r>
        <w:t xml:space="preserve">Sprinkler oder Rauchmelder wirken auf unterschiedliche Pfade. Wirksamkeitsraten je gemeldetem Brand dürfen nicht ohne Weiteres auf das Brandentstehungsrisiko angewandt werden.</w:t>
      </w:r>
    </w:p>
    <w:bookmarkEnd w:id="86"/>
    <w:bookmarkStart w:id="87" w:name="naturgefahren"/>
    <w:p>
      <w:pPr>
        <w:pStyle w:val="Heading2"/>
      </w:pPr>
      <w:r>
        <w:rPr>
          <w:rStyle w:val="SectionNumber"/>
        </w:rPr>
        <w:t xml:space="preserve">12.7</w:t>
      </w:r>
      <w:r>
        <w:tab/>
      </w:r>
      <w:r>
        <w:t xml:space="preserve">11.7 Naturgefahren</w:t>
      </w:r>
    </w:p>
    <w:p>
      <w:pPr>
        <w:pStyle w:val="FirstParagraph"/>
      </w:pPr>
      <w:r>
        <w:t xml:space="preserve">Hazus kombiniert Inventardaten, Hazardintensität und Schadensfunktionen. Für RiskAI ist die Struktur anschlussfähig:</w:t>
      </w:r>
    </w:p>
    <w:p>
      <w:pPr>
        <w:pStyle w:val="BodyText"/>
      </w:pPr>
      <m:oMathPara>
        <m:oMathParaPr>
          <m:jc m:val="center"/>
        </m:oMathParaPr>
        <m:oMath>
          <m:r>
            <m:t>P</m:t>
          </m:r>
          <m:r>
            <m:rPr>
              <m:sty m:val="p"/>
            </m:rPr>
            <m:t>(</m:t>
          </m:r>
          <m:r>
            <m:t>Y</m:t>
          </m:r>
          <m:r>
            <m:rPr>
              <m:sty m:val="p"/>
            </m:rPr>
            <m:t>=</m:t>
          </m:r>
          <m:r>
            <m:t>q</m:t>
          </m:r>
          <m:r>
            <m:rPr>
              <m:sty m:val="p"/>
            </m:rPr>
            <m:t>)</m:t>
          </m:r>
          <m:r>
            <m:rPr>
              <m:sty m:val="p"/>
            </m:rPr>
            <m:t>=</m:t>
          </m:r>
          <m:r>
            <m:rPr>
              <m:sty m:val="p"/>
            </m:rPr>
            <m:t>∫</m:t>
          </m:r>
          <m:r>
            <m:t>P</m:t>
          </m:r>
          <m:r>
            <m:rPr>
              <m:sty m:val="p"/>
            </m:rPr>
            <m:t>(</m:t>
          </m:r>
          <m:r>
            <m:t>Y</m:t>
          </m:r>
          <m:r>
            <m:rPr>
              <m:sty m:val="p"/>
            </m:rPr>
            <m:t>=</m:t>
          </m:r>
          <m:r>
            <m:t>q</m:t>
          </m:r>
          <m:r>
            <m:rPr>
              <m:sty m:val="p"/>
            </m:rPr>
            <m:t>∣</m:t>
          </m:r>
          <m:r>
            <m:t>I</m:t>
          </m:r>
          <m:r>
            <m:rPr>
              <m:sty m:val="p"/>
            </m:rPr>
            <m:t>,</m:t>
          </m:r>
          <m:r>
            <m:t>v</m:t>
          </m:r>
          <m:r>
            <m:rPr>
              <m:sty m:val="p"/>
            </m:rPr>
            <m:t>)</m:t>
          </m:r>
          <m:sSub>
            <m:e>
              <m:r>
                <m:t>f</m:t>
              </m:r>
            </m:e>
            <m:sub>
              <m:r>
                <m:t>I</m:t>
              </m:r>
            </m:sub>
          </m:sSub>
          <m:r>
            <m:rPr>
              <m:sty m:val="p"/>
            </m:rPr>
            <m:t>(</m:t>
          </m:r>
          <m:r>
            <m:t>i</m:t>
          </m:r>
          <m:r>
            <m:rPr>
              <m:sty m:val="p"/>
            </m:rPr>
            <m:t>∣</m:t>
          </m:r>
          <m:r>
            <m:t>g</m:t>
          </m:r>
          <m:r>
            <m:rPr>
              <m:sty m:val="p"/>
            </m:rPr>
            <m:t>,</m:t>
          </m:r>
          <m:r>
            <m:t>t</m:t>
          </m:r>
          <m:r>
            <m:rPr>
              <m:sty m:val="p"/>
            </m:rPr>
            <m:t>)</m:t>
          </m:r>
          <m:r>
            <m:t> </m:t>
          </m:r>
          <m:r>
            <m:t>d</m:t>
          </m:r>
          <m:r>
            <m:t>i</m:t>
          </m:r>
          <m:r>
            <m:rPr>
              <m:sty m:val="p"/>
            </m:rPr>
            <m:t>,</m:t>
          </m:r>
        </m:oMath>
      </m:oMathPara>
    </w:p>
    <w:p>
      <w:pPr>
        <w:pStyle w:val="FirstParagraph"/>
      </w:pPr>
      <w:r>
        <w:t xml:space="preserve">wobei</w:t>
      </w:r>
      <w:r>
        <w:t xml:space="preserve"> </w:t>
      </w:r>
      <m:oMath>
        <m:r>
          <m:t>I</m:t>
        </m:r>
      </m:oMath>
      <w:r>
        <w:t xml:space="preserve"> </w:t>
      </w:r>
      <w:r>
        <w:t xml:space="preserve">Hazardintensität,</w:t>
      </w:r>
      <w:r>
        <w:t xml:space="preserve"> </w:t>
      </w:r>
      <m:oMath>
        <m:r>
          <m:t>v</m:t>
        </m:r>
      </m:oMath>
      <w:r>
        <w:t xml:space="preserve"> </w:t>
      </w:r>
      <w:r>
        <w:t xml:space="preserve">Vulnerabilität und</w:t>
      </w:r>
      <w:r>
        <w:t xml:space="preserve"> </w:t>
      </w:r>
      <m:oMath>
        <m:r>
          <m:t>g</m:t>
        </m:r>
        <m:r>
          <m:rPr>
            <m:sty m:val="p"/>
          </m:rPr>
          <m:t>,</m:t>
        </m:r>
        <m:r>
          <m:t>t</m:t>
        </m:r>
      </m:oMath>
      <w:r>
        <w:t xml:space="preserve"> </w:t>
      </w:r>
      <w:r>
        <w:t xml:space="preserve">Ort und Zeit sind. Individuelle Aufenthaltszeit und Gebäudekontext müssen ergänzt werden.</w:t>
      </w:r>
    </w:p>
    <w:bookmarkEnd w:id="87"/>
    <w:bookmarkEnd w:id="88"/>
    <w:bookmarkStart w:id="94" w:name="validierung-und-modellkontrolle"/>
    <w:p>
      <w:pPr>
        <w:pStyle w:val="Heading1"/>
      </w:pPr>
      <w:r>
        <w:rPr>
          <w:rStyle w:val="SectionNumber"/>
        </w:rPr>
        <w:t xml:space="preserve">13</w:t>
      </w:r>
      <w:r>
        <w:tab/>
      </w:r>
      <w:r>
        <w:t xml:space="preserve">12. Validierung und Modellkontrolle</w:t>
      </w:r>
    </w:p>
    <w:bookmarkStart w:id="89" w:name="mathematische-invarianten"/>
    <w:p>
      <w:pPr>
        <w:pStyle w:val="Heading2"/>
      </w:pPr>
      <w:r>
        <w:rPr>
          <w:rStyle w:val="SectionNumber"/>
        </w:rPr>
        <w:t xml:space="preserve">13.1</w:t>
      </w:r>
      <w:r>
        <w:tab/>
      </w:r>
      <w:r>
        <w:t xml:space="preserve">12.1 Mathematische Invarianten</w:t>
      </w:r>
    </w:p>
    <w:p>
      <w:pPr>
        <w:pStyle w:val="FirstParagraph"/>
      </w:pPr>
      <w:r>
        <w:t xml:space="preserve">Für automatisierte Tests gelten:</w:t>
      </w:r>
    </w:p>
    <w:p>
      <w:pPr>
        <w:pStyle w:val="BodyText"/>
      </w:pPr>
      <m:oMathPara>
        <m:oMathParaPr>
          <m:jc m:val="center"/>
        </m:oMathParaPr>
        <m:oMath>
          <m:r>
            <m:t>0</m:t>
          </m:r>
          <m:r>
            <m:rPr>
              <m:sty m:val="p"/>
            </m:rPr>
            <m:t>≤</m:t>
          </m:r>
          <m:sSub>
            <m:e>
              <m:r>
                <m:t>P</m:t>
              </m:r>
            </m:e>
            <m:sub>
              <m:r>
                <m:t>q</m:t>
              </m:r>
            </m:sub>
          </m:sSub>
          <m:r>
            <m:rPr>
              <m:sty m:val="p"/>
            </m:rPr>
            <m:t>≤</m:t>
          </m:r>
          <m:r>
            <m:t>1</m:t>
          </m:r>
          <m:r>
            <m:rPr>
              <m:sty m:val="p"/>
            </m:rPr>
            <m:t>,</m:t>
          </m:r>
          <m:r>
            <m:t>  </m:t>
          </m:r>
          <m:r>
            <m:t>0</m:t>
          </m:r>
          <m:r>
            <m:rPr>
              <m:sty m:val="p"/>
            </m:rPr>
            <m:t>≤</m:t>
          </m:r>
          <m:r>
            <m:t>M</m:t>
          </m:r>
          <m:r>
            <m:rPr>
              <m:sty m:val="p"/>
            </m:rPr>
            <m:t>≤</m:t>
          </m:r>
          <m:sSup>
            <m:e>
              <m:r>
                <m:t>10</m:t>
              </m:r>
            </m:e>
            <m:sup>
              <m:r>
                <m:t>6</m:t>
              </m:r>
            </m:sup>
          </m:sSup>
          <m:r>
            <m:rPr>
              <m:sty m:val="p"/>
            </m:rPr>
            <m:t>.</m:t>
          </m:r>
        </m:oMath>
      </m:oMathPara>
    </w:p>
    <w:p>
      <w:pPr>
        <w:pStyle w:val="FirstParagraph"/>
      </w:pPr>
      <w:r>
        <w:t xml:space="preserve">Bei nichtnegativer Rate gilt Monotonie in der Exposition:</w:t>
      </w:r>
    </w:p>
    <w:p>
      <w:pPr>
        <w:pStyle w:val="BodyText"/>
      </w:pPr>
      <m:oMathPara>
        <m:oMathParaPr>
          <m:jc m:val="center"/>
        </m:oMathParaPr>
        <m:oMath>
          <m:f>
            <m:fPr>
              <m:type m:val="bar"/>
            </m:fPr>
            <m:num>
              <m:r>
                <m:rPr>
                  <m:sty m:val="p"/>
                </m:rPr>
                <m:t>∂</m:t>
              </m:r>
              <m:r>
                <m:t>P</m:t>
              </m:r>
            </m:num>
            <m:den>
              <m:r>
                <m:rPr>
                  <m:sty m:val="p"/>
                </m:rPr>
                <m:t>∂</m:t>
              </m:r>
              <m:r>
                <m:t>E</m:t>
              </m:r>
            </m:den>
          </m:f>
          <m:r>
            <m:rPr>
              <m:sty m:val="p"/>
            </m:rPr>
            <m:t>=</m:t>
          </m:r>
          <m:r>
            <m:t>r</m:t>
          </m:r>
          <m:sSup>
            <m:e>
              <m:r>
                <m:t>e</m:t>
              </m:r>
            </m:e>
            <m:sup>
              <m:r>
                <m:rPr>
                  <m:sty m:val="p"/>
                </m:rPr>
                <m:t>−</m:t>
              </m:r>
              <m:r>
                <m:t>E</m:t>
              </m:r>
              <m:r>
                <m:t>r</m:t>
              </m:r>
            </m:sup>
          </m:sSup>
          <m:r>
            <m:rPr>
              <m:sty m:val="p"/>
            </m:rPr>
            <m:t>≥</m:t>
          </m:r>
          <m:r>
            <m:t>0</m:t>
          </m:r>
          <m:r>
            <m:rPr>
              <m:sty m:val="p"/>
            </m:rPr>
            <m:t>.</m:t>
          </m:r>
        </m:oMath>
      </m:oMathPara>
    </w:p>
    <w:p>
      <w:pPr>
        <w:pStyle w:val="FirstParagraph"/>
      </w:pPr>
      <w:r>
        <w:t xml:space="preserve">Für schützende Barriere</w:t>
      </w:r>
      <w:r>
        <w:t xml:space="preserve"> </w:t>
      </w:r>
      <m:oMath>
        <m:r>
          <m:t>b</m:t>
        </m:r>
      </m:oMath>
      <w:r>
        <w:t xml:space="preserve"> </w:t>
      </w:r>
      <w:r>
        <w:t xml:space="preserve">mit</w:t>
      </w:r>
      <w:r>
        <w:t xml:space="preserve"> </w:t>
      </w:r>
      <m:oMath>
        <m:r>
          <m:rPr>
            <m:sty m:val="p"/>
          </m:rPr>
          <m:t>∂</m:t>
        </m:r>
        <m:r>
          <m:t>H</m:t>
        </m:r>
        <m:r>
          <m:rPr>
            <m:sty m:val="p"/>
          </m:rPr>
          <m:t>/</m:t>
        </m:r>
        <m:r>
          <m:rPr>
            <m:sty m:val="p"/>
          </m:rPr>
          <m:t>∂</m:t>
        </m:r>
        <m:r>
          <m:t>b</m:t>
        </m:r>
        <m:r>
          <m:rPr>
            <m:sty m:val="p"/>
          </m:rPr>
          <m:t>≤</m:t>
        </m:r>
        <m:r>
          <m:t>0</m:t>
        </m:r>
      </m:oMath>
      <w:r>
        <w:t xml:space="preserve">:</w:t>
      </w:r>
    </w:p>
    <w:p>
      <w:pPr>
        <w:pStyle w:val="BodyText"/>
      </w:pPr>
      <m:oMathPara>
        <m:oMathParaPr>
          <m:jc m:val="center"/>
        </m:oMathParaPr>
        <m:oMath>
          <m:f>
            <m:fPr>
              <m:type m:val="bar"/>
            </m:fPr>
            <m:num>
              <m:r>
                <m:rPr>
                  <m:sty m:val="p"/>
                </m:rPr>
                <m:t>∂</m:t>
              </m:r>
              <m:r>
                <m:t>P</m:t>
              </m:r>
            </m:num>
            <m:den>
              <m:r>
                <m:rPr>
                  <m:sty m:val="p"/>
                </m:rPr>
                <m:t>∂</m:t>
              </m:r>
              <m:r>
                <m:t>b</m:t>
              </m:r>
            </m:den>
          </m:f>
          <m:r>
            <m:rPr>
              <m:sty m:val="p"/>
            </m:rPr>
            <m:t>=</m:t>
          </m:r>
          <m:sSup>
            <m:e>
              <m:r>
                <m:t>e</m:t>
              </m:r>
            </m:e>
            <m:sup>
              <m:r>
                <m:rPr>
                  <m:sty m:val="p"/>
                </m:rPr>
                <m:t>−</m:t>
              </m:r>
              <m:r>
                <m:t>H</m:t>
              </m:r>
            </m:sup>
          </m:sSup>
          <m:f>
            <m:fPr>
              <m:type m:val="bar"/>
            </m:fPr>
            <m:num>
              <m:r>
                <m:rPr>
                  <m:sty m:val="p"/>
                </m:rPr>
                <m:t>∂</m:t>
              </m:r>
              <m:r>
                <m:t>H</m:t>
              </m:r>
            </m:num>
            <m:den>
              <m:r>
                <m:rPr>
                  <m:sty m:val="p"/>
                </m:rPr>
                <m:t>∂</m:t>
              </m:r>
              <m:r>
                <m:t>b</m:t>
              </m:r>
            </m:den>
          </m:f>
          <m:r>
            <m:rPr>
              <m:sty m:val="p"/>
            </m:rPr>
            <m:t>≤</m:t>
          </m:r>
          <m:r>
            <m:t>0</m:t>
          </m:r>
          <m:r>
            <m:rPr>
              <m:sty m:val="p"/>
            </m:rPr>
            <m:t>.</m:t>
          </m:r>
        </m:oMath>
      </m:oMathPara>
    </w:p>
    <w:bookmarkEnd w:id="89"/>
    <w:bookmarkStart w:id="90" w:name="kalibrierung"/>
    <w:p>
      <w:pPr>
        <w:pStyle w:val="Heading2"/>
      </w:pPr>
      <w:r>
        <w:rPr>
          <w:rStyle w:val="SectionNumber"/>
        </w:rPr>
        <w:t xml:space="preserve">13.2</w:t>
      </w:r>
      <w:r>
        <w:tab/>
      </w:r>
      <w:r>
        <w:t xml:space="preserve">12.2 Kalibrierung</w:t>
      </w:r>
    </w:p>
    <w:p>
      <w:pPr>
        <w:pStyle w:val="FirstParagraph"/>
      </w:pPr>
      <w:r>
        <w:t xml:space="preserve">Ein Modell ist kalibriert, wenn vorhergesagte Wahrscheinlichkeiten mit beobachteten Häufigkeiten übereinstimmen. Für Gruppen</w:t>
      </w:r>
      <w:r>
        <w:t xml:space="preserve"> </w:t>
      </w:r>
      <m:oMath>
        <m:sSub>
          <m:e>
            <m:r>
              <m:t>G</m:t>
            </m:r>
          </m:e>
          <m:sub>
            <m:r>
              <m:t>m</m:t>
            </m:r>
          </m:sub>
        </m:sSub>
      </m:oMath>
      <w:r>
        <w:t xml:space="preserve">:</w:t>
      </w:r>
    </w:p>
    <w:p>
      <w:pPr>
        <w:pStyle w:val="BodyText"/>
      </w:pPr>
      <m:oMathPara>
        <m:oMathParaPr>
          <m:jc m:val="center"/>
        </m:oMathParaPr>
        <m:oMath>
          <m:sSub>
            <m:e>
              <m:acc>
                <m:accPr>
                  <m:chr m:val="̂"/>
                </m:accPr>
                <m:e>
                  <m:r>
                    <m:t>p</m:t>
                  </m:r>
                </m:e>
              </m:acc>
            </m:e>
            <m:sub>
              <m:r>
                <m:t>m</m:t>
              </m:r>
            </m:sub>
          </m:sSub>
          <m:r>
            <m:rPr>
              <m:sty m:val="p"/>
            </m:rPr>
            <m:t>=</m:t>
          </m:r>
          <m:f>
            <m:fPr>
              <m:type m:val="bar"/>
            </m:fPr>
            <m:num>
              <m:r>
                <m:t>1</m:t>
              </m:r>
            </m:num>
            <m:den>
              <m:r>
                <m:rPr>
                  <m:sty m:val="p"/>
                </m:rPr>
                <m:t>|</m:t>
              </m:r>
              <m:sSub>
                <m:e>
                  <m:r>
                    <m:t>G</m:t>
                  </m:r>
                </m:e>
                <m:sub>
                  <m:r>
                    <m:t>m</m:t>
                  </m:r>
                </m:sub>
              </m:sSub>
              <m:r>
                <m:rPr>
                  <m:sty m:val="p"/>
                </m:rPr>
                <m:t>|</m:t>
              </m:r>
            </m:den>
          </m:f>
          <m:nary>
            <m:naryPr>
              <m:chr m:val="∑"/>
              <m:limLoc m:val="undOvr"/>
              <m:subHide m:val="off"/>
              <m:supHide m:val="on"/>
            </m:naryPr>
            <m:sub>
              <m:r>
                <m:t>i</m:t>
              </m:r>
              <m:r>
                <m:rPr>
                  <m:sty m:val="p"/>
                </m:rPr>
                <m:t>∈</m:t>
              </m:r>
              <m:sSub>
                <m:e>
                  <m:r>
                    <m:t>G</m:t>
                  </m:r>
                </m:e>
                <m:sub>
                  <m:r>
                    <m:t>m</m:t>
                  </m:r>
                </m:sub>
              </m:sSub>
            </m:sub>
            <m:sup>
              <m:r>
                <m:t>​</m:t>
              </m:r>
            </m:sup>
            <m:e>
              <m:sSub>
                <m:e>
                  <m:acc>
                    <m:accPr>
                      <m:chr m:val="̂"/>
                    </m:accPr>
                    <m:e>
                      <m:r>
                        <m:t>p</m:t>
                      </m:r>
                    </m:e>
                  </m:acc>
                </m:e>
                <m:sub>
                  <m:r>
                    <m:t>i</m:t>
                  </m:r>
                </m:sub>
              </m:sSub>
            </m:e>
          </m:nary>
          <m:r>
            <m:rPr>
              <m:sty m:val="p"/>
            </m:rPr>
            <m:t>,</m:t>
          </m:r>
          <m:r>
            <m:t>  </m:t>
          </m:r>
          <m:sSub>
            <m:e>
              <m:bar>
                <m:barPr>
                  <m:pos m:val="top"/>
                </m:barPr>
                <m:e>
                  <m:r>
                    <m:t>y</m:t>
                  </m:r>
                </m:e>
              </m:bar>
            </m:e>
            <m:sub>
              <m:r>
                <m:t>m</m:t>
              </m:r>
            </m:sub>
          </m:sSub>
          <m:r>
            <m:rPr>
              <m:sty m:val="p"/>
            </m:rPr>
            <m:t>=</m:t>
          </m:r>
          <m:f>
            <m:fPr>
              <m:type m:val="bar"/>
            </m:fPr>
            <m:num>
              <m:r>
                <m:t>1</m:t>
              </m:r>
            </m:num>
            <m:den>
              <m:r>
                <m:rPr>
                  <m:sty m:val="p"/>
                </m:rPr>
                <m:t>|</m:t>
              </m:r>
              <m:sSub>
                <m:e>
                  <m:r>
                    <m:t>G</m:t>
                  </m:r>
                </m:e>
                <m:sub>
                  <m:r>
                    <m:t>m</m:t>
                  </m:r>
                </m:sub>
              </m:sSub>
              <m:r>
                <m:rPr>
                  <m:sty m:val="p"/>
                </m:rPr>
                <m:t>|</m:t>
              </m:r>
            </m:den>
          </m:f>
          <m:nary>
            <m:naryPr>
              <m:chr m:val="∑"/>
              <m:limLoc m:val="undOvr"/>
              <m:subHide m:val="off"/>
              <m:supHide m:val="on"/>
            </m:naryPr>
            <m:sub>
              <m:r>
                <m:t>i</m:t>
              </m:r>
              <m:r>
                <m:rPr>
                  <m:sty m:val="p"/>
                </m:rPr>
                <m:t>∈</m:t>
              </m:r>
              <m:sSub>
                <m:e>
                  <m:r>
                    <m:t>G</m:t>
                  </m:r>
                </m:e>
                <m:sub>
                  <m:r>
                    <m:t>m</m:t>
                  </m:r>
                </m:sub>
              </m:sSub>
            </m:sub>
            <m:sup>
              <m:r>
                <m:t>​</m:t>
              </m:r>
            </m:sup>
            <m:e>
              <m:sSub>
                <m:e>
                  <m:r>
                    <m:t>y</m:t>
                  </m:r>
                </m:e>
                <m:sub>
                  <m:r>
                    <m:t>i</m:t>
                  </m:r>
                </m:sub>
              </m:sSub>
            </m:e>
          </m:nary>
          <m:r>
            <m:rPr>
              <m:sty m:val="p"/>
            </m:rPr>
            <m:t>.</m:t>
          </m:r>
        </m:oMath>
      </m:oMathPara>
    </w:p>
    <w:p>
      <w:pPr>
        <w:pStyle w:val="FirstParagraph"/>
      </w:pPr>
      <w:r>
        <w:t xml:space="preserve">Kalibrierungsplots vergleichen</w:t>
      </w:r>
      <w:r>
        <w:t xml:space="preserve"> </w:t>
      </w:r>
      <m:oMath>
        <m:sSub>
          <m:e>
            <m:acc>
              <m:accPr>
                <m:chr m:val="̂"/>
              </m:accPr>
              <m:e>
                <m:r>
                  <m:t>p</m:t>
                </m:r>
              </m:e>
            </m:acc>
          </m:e>
          <m:sub>
            <m:r>
              <m:t>m</m:t>
            </m:r>
          </m:sub>
        </m:sSub>
      </m:oMath>
      <w:r>
        <w:t xml:space="preserve"> </w:t>
      </w:r>
      <w:r>
        <w:t xml:space="preserve">und</w:t>
      </w:r>
      <w:r>
        <w:t xml:space="preserve"> </w:t>
      </w:r>
      <m:oMath>
        <m:sSub>
          <m:e>
            <m:bar>
              <m:barPr>
                <m:pos m:val="top"/>
              </m:barPr>
              <m:e>
                <m:r>
                  <m:t>y</m:t>
                </m:r>
              </m:e>
            </m:bar>
          </m:e>
          <m:sub>
            <m:r>
              <m:t>m</m:t>
            </m:r>
          </m:sub>
        </m:sSub>
      </m:oMath>
      <w:r>
        <w:t xml:space="preserve">. Zusätzlich werden Kalibrierungsinterzept und -steigung geprüft.</w:t>
      </w:r>
    </w:p>
    <w:bookmarkEnd w:id="90"/>
    <w:bookmarkStart w:id="91" w:name="proper-scoring-rules"/>
    <w:p>
      <w:pPr>
        <w:pStyle w:val="Heading2"/>
      </w:pPr>
      <w:r>
        <w:rPr>
          <w:rStyle w:val="SectionNumber"/>
        </w:rPr>
        <w:t xml:space="preserve">13.3</w:t>
      </w:r>
      <w:r>
        <w:tab/>
      </w:r>
      <w:r>
        <w:t xml:space="preserve">12.3 Proper Scoring Rules</w:t>
      </w:r>
    </w:p>
    <w:p>
      <w:pPr>
        <w:pStyle w:val="FirstParagraph"/>
      </w:pPr>
      <w:r>
        <w:t xml:space="preserve">Für binären Endpunkt ist der Brier Score</w:t>
      </w:r>
    </w:p>
    <w:p>
      <w:pPr>
        <w:pStyle w:val="BodyText"/>
      </w:pPr>
      <m:oMathPara>
        <m:oMathParaPr>
          <m:jc m:val="center"/>
        </m:oMathParaPr>
        <m:oMath>
          <m:r>
            <m:t>B</m:t>
          </m:r>
          <m:r>
            <m:t>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p</m:t>
                  </m:r>
                </m:e>
              </m:acc>
            </m:e>
            <m:sub>
              <m:r>
                <m:t>i</m:t>
              </m:r>
            </m:sub>
          </m:sSub>
          <m:r>
            <m:rPr>
              <m:sty m:val="p"/>
            </m:rPr>
            <m:t>−</m:t>
          </m:r>
          <m:sSub>
            <m:e>
              <m:r>
                <m:t>y</m:t>
              </m:r>
            </m:e>
            <m:sub>
              <m:r>
                <m:t>i</m:t>
              </m:r>
            </m:sub>
          </m:sSub>
          <m:sSup>
            <m:e>
              <m:r>
                <m:rPr>
                  <m:sty m:val="p"/>
                </m:rPr>
                <m:t>)</m:t>
              </m:r>
            </m:e>
            <m:sup>
              <m:r>
                <m:t>2</m:t>
              </m:r>
            </m:sup>
          </m:sSup>
          <m:r>
            <m:rPr>
              <m:sty m:val="p"/>
            </m:rPr>
            <m:t>.</m:t>
          </m:r>
        </m:oMath>
      </m:oMathPara>
    </w:p>
    <w:p>
      <w:pPr>
        <w:pStyle w:val="FirstParagraph"/>
      </w:pPr>
      <w:r>
        <w:t xml:space="preserve">Der Log Loss lautet</w:t>
      </w:r>
    </w:p>
    <w:p>
      <w:pPr>
        <w:pStyle w:val="BodyText"/>
      </w:pPr>
      <m:oMathPara>
        <m:oMathParaPr>
          <m:jc m:val="center"/>
        </m:oMathParaPr>
        <m:oMath>
          <m:r>
            <m:t>L</m:t>
          </m:r>
          <m: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log</m:t>
          </m:r>
          <m:sSub>
            <m:e>
              <m:acc>
                <m:accPr>
                  <m:chr m:val="̂"/>
                </m:accPr>
                <m:e>
                  <m:r>
                    <m:t>p</m:t>
                  </m:r>
                </m:e>
              </m:acc>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acc>
                <m:accPr>
                  <m:chr m:val="̂"/>
                </m:accPr>
                <m:e>
                  <m:r>
                    <m:t>p</m:t>
                  </m:r>
                </m:e>
              </m:acc>
            </m:e>
            <m:sub>
              <m:r>
                <m:t>i</m:t>
              </m:r>
            </m:sub>
          </m:sSub>
          <m:r>
            <m:rPr>
              <m:sty m:val="p"/>
            </m:rPr>
            <m:t>)</m:t>
          </m:r>
          <m:r>
            <m:rPr>
              <m:sty m:val="p"/>
            </m:rPr>
            <m:t>]</m:t>
          </m:r>
          <m:r>
            <m:rPr>
              <m:sty m:val="p"/>
            </m:rPr>
            <m:t>.</m:t>
          </m:r>
        </m:oMath>
      </m:oMathPara>
    </w:p>
    <w:p>
      <w:pPr>
        <w:pStyle w:val="FirstParagraph"/>
      </w:pPr>
      <w:r>
        <w:t xml:space="preserve">Diese Maße bewerten probabilistische Prognosen; reine Klassifikationsgenauigkeit ist für seltene Ereignisse ungeeignet.</w:t>
      </w:r>
    </w:p>
    <w:bookmarkEnd w:id="91"/>
    <w:bookmarkStart w:id="92" w:name="zeitliche-validierung"/>
    <w:p>
      <w:pPr>
        <w:pStyle w:val="Heading2"/>
      </w:pPr>
      <w:r>
        <w:rPr>
          <w:rStyle w:val="SectionNumber"/>
        </w:rPr>
        <w:t xml:space="preserve">13.4</w:t>
      </w:r>
      <w:r>
        <w:tab/>
      </w:r>
      <w:r>
        <w:t xml:space="preserve">12.4 Zeitliche Validierung</w:t>
      </w:r>
    </w:p>
    <w:p>
      <w:pPr>
        <w:pStyle w:val="FirstParagraph"/>
      </w:pPr>
      <w:r>
        <w:t xml:space="preserve">Daten werden chronologisch geteilt. Ein Modell wird auf früheren Perioden geschätzt und auf späteren Perioden geprüft. Dies reduziert Informationsleckage und bildet reale Aktualisierung ab. Externe Validierung in anderen Regionen prüft Übertragbarkeit.</w:t>
      </w:r>
    </w:p>
    <w:bookmarkEnd w:id="92"/>
    <w:bookmarkStart w:id="93" w:name="modellrisiko"/>
    <w:p>
      <w:pPr>
        <w:pStyle w:val="Heading2"/>
      </w:pPr>
      <w:r>
        <w:rPr>
          <w:rStyle w:val="SectionNumber"/>
        </w:rPr>
        <w:t xml:space="preserve">13.5</w:t>
      </w:r>
      <w:r>
        <w:tab/>
      </w:r>
      <w:r>
        <w:t xml:space="preserve">12.5 Modellrisiko</w:t>
      </w:r>
    </w:p>
    <w:p>
      <w:pPr>
        <w:pStyle w:val="FirstParagraph"/>
      </w:pPr>
      <w:r>
        <w:t xml:space="preserve">Modellformunsicherheit kann durch Modell-Ensembles oder Szenarien dargestellt werden:</w:t>
      </w:r>
    </w:p>
    <w:p>
      <w:pPr>
        <w:pStyle w:val="BodyText"/>
      </w:pPr>
      <m:oMathPara>
        <m:oMathParaPr>
          <m:jc m:val="center"/>
        </m:oMathParaPr>
        <m:oMath>
          <m:r>
            <m:t>p</m:t>
          </m:r>
          <m:r>
            <m:rPr>
              <m:sty m:val="p"/>
            </m:rPr>
            <m:t>(</m:t>
          </m:r>
          <m:r>
            <m:t>P</m:t>
          </m:r>
          <m:r>
            <m:rPr>
              <m:sty m:val="p"/>
            </m:rPr>
            <m:t>∣</m:t>
          </m:r>
          <m:r>
            <m:rPr>
              <m:scr m:val="script"/>
              <m:sty m:val="p"/>
            </m:rPr>
            <m:t>D</m:t>
          </m:r>
          <m:r>
            <m:rPr>
              <m:sty m:val="p"/>
            </m:rPr>
            <m:t>)</m:t>
          </m:r>
          <m:r>
            <m:rPr>
              <m:sty m:val="p"/>
            </m:rPr>
            <m:t>=</m:t>
          </m:r>
          <m:nary>
            <m:naryPr>
              <m:chr m:val="∑"/>
              <m:limLoc m:val="undOvr"/>
              <m:subHide m:val="off"/>
              <m:supHide m:val="on"/>
            </m:naryPr>
            <m:sub>
              <m:r>
                <m:t>m</m:t>
              </m:r>
            </m:sub>
            <m:sup>
              <m:r>
                <m:t>​</m:t>
              </m:r>
            </m:sup>
            <m:e>
              <m:r>
                <m:t>p</m:t>
              </m:r>
            </m:e>
          </m:nary>
          <m:r>
            <m:rPr>
              <m:sty m:val="p"/>
            </m:rPr>
            <m:t>(</m:t>
          </m:r>
          <m:r>
            <m:t>P</m:t>
          </m:r>
          <m:r>
            <m:rPr>
              <m:sty m:val="p"/>
            </m:rPr>
            <m:t>∣</m:t>
          </m:r>
          <m:sSub>
            <m:e>
              <m:r>
                <m:t>M</m:t>
              </m:r>
            </m:e>
            <m:sub>
              <m:r>
                <m:t>m</m:t>
              </m:r>
            </m:sub>
          </m:sSub>
          <m:r>
            <m:rPr>
              <m:sty m:val="p"/>
            </m:rPr>
            <m:t>,</m:t>
          </m:r>
          <m:r>
            <m:rPr>
              <m:scr m:val="script"/>
              <m:sty m:val="p"/>
            </m:rPr>
            <m:t>D</m:t>
          </m:r>
          <m:r>
            <m:rPr>
              <m:sty m:val="p"/>
            </m:rPr>
            <m:t>)</m:t>
          </m:r>
          <m:r>
            <m:t>p</m:t>
          </m:r>
          <m:r>
            <m:rPr>
              <m:sty m:val="p"/>
            </m:rPr>
            <m:t>(</m:t>
          </m:r>
          <m:sSub>
            <m:e>
              <m:r>
                <m:t>M</m:t>
              </m:r>
            </m:e>
            <m:sub>
              <m:r>
                <m:t>m</m:t>
              </m:r>
            </m:sub>
          </m:sSub>
          <m:r>
            <m:rPr>
              <m:sty m:val="p"/>
            </m:rPr>
            <m:t>∣</m:t>
          </m:r>
          <m:r>
            <m:rPr>
              <m:scr m:val="script"/>
              <m:sty m:val="p"/>
            </m:rPr>
            <m:t>D</m:t>
          </m:r>
          <m:r>
            <m:rPr>
              <m:sty m:val="p"/>
            </m:rPr>
            <m:t>)</m:t>
          </m:r>
          <m:r>
            <m:rPr>
              <m:sty m:val="p"/>
            </m:rPr>
            <m:t>.</m:t>
          </m:r>
        </m:oMath>
      </m:oMathPara>
    </w:p>
    <w:p>
      <w:pPr>
        <w:pStyle w:val="FirstParagraph"/>
      </w:pPr>
      <w:r>
        <w:t xml:space="preserve">Wenn Modellwahrscheinlichkeiten nicht begründbar sind, werden Ergebnisse mehrerer plausibler Spezifikationen getrennt berichtet.</w:t>
      </w:r>
    </w:p>
    <w:bookmarkEnd w:id="93"/>
    <w:bookmarkEnd w:id="94"/>
    <w:bookmarkStart w:id="95" w:name="produkt--und-interaktionsdesign"/>
    <w:p>
      <w:pPr>
        <w:pStyle w:val="Heading1"/>
      </w:pPr>
      <w:r>
        <w:rPr>
          <w:rStyle w:val="SectionNumber"/>
        </w:rPr>
        <w:t xml:space="preserve">14</w:t>
      </w:r>
      <w:r>
        <w:tab/>
      </w:r>
      <w:r>
        <w:t xml:space="preserve">13. Produkt- und Interaktionsdesign</w:t>
      </w:r>
    </w:p>
    <w:p>
      <w:pPr>
        <w:pStyle w:val="FirstParagraph"/>
      </w:pPr>
      <w:r>
        <w:t xml:space="preserve">Die Startansicht zeigt nur die zentrale Todeswahrscheinlichkeit in Mikromort, die logarithmische Skala, die drei weiteren Endpunktwerte und die Aktivitätseingaben. Der Skalenmarker folgt der Eingabe ohne Neurendern des Eingabefelds. Quellen, Methodik, Evidenzstatus und Unsicherheit sind in eigenen Ansichten verfügbar.</w:t>
      </w:r>
    </w:p>
    <w:p>
      <w:pPr>
        <w:pStyle w:val="BodyText"/>
      </w:pPr>
      <w:r>
        <w:t xml:space="preserve">Eine logarithmische Position für Mikromort</w:t>
      </w:r>
      <w:r>
        <w:t xml:space="preserve"> </w:t>
      </w:r>
      <m:oMath>
        <m:r>
          <m:t>M</m:t>
        </m:r>
      </m:oMath>
      <w:r>
        <w:t xml:space="preserve"> </w:t>
      </w:r>
      <w:r>
        <w:t xml:space="preserve">zwischen</w:t>
      </w:r>
      <w:r>
        <w:t xml:space="preserve"> </w:t>
      </w:r>
      <m:oMath>
        <m:sSub>
          <m:e>
            <m:r>
              <m:t>M</m:t>
            </m:r>
          </m:e>
          <m:sub>
            <m:r>
              <m:rPr>
                <m:sty m:val="p"/>
              </m:rPr>
              <m:t>min</m:t>
            </m:r>
          </m:sub>
        </m:sSub>
      </m:oMath>
      <w:r>
        <w:t xml:space="preserve"> </w:t>
      </w:r>
      <w:r>
        <w:t xml:space="preserve">und</w:t>
      </w:r>
      <w:r>
        <w:t xml:space="preserve"> </w:t>
      </w:r>
      <m:oMath>
        <m:sSub>
          <m:e>
            <m:r>
              <m:t>M</m:t>
            </m:r>
          </m:e>
          <m:sub>
            <m:r>
              <m:rPr>
                <m:sty m:val="p"/>
              </m:rPr>
              <m:t>max</m:t>
            </m:r>
          </m:sub>
        </m:sSub>
      </m:oMath>
      <w:r>
        <w:t xml:space="preserve"> </w:t>
      </w:r>
      <w:r>
        <w:t xml:space="preserve">ist</w:t>
      </w:r>
    </w:p>
    <w:p>
      <w:pPr>
        <w:pStyle w:val="BodyText"/>
      </w:pPr>
      <m:oMathPara>
        <m:oMathParaPr>
          <m:jc m:val="center"/>
        </m:oMathParaPr>
        <m:oMath>
          <m:r>
            <m:t>x</m:t>
          </m:r>
          <m:r>
            <m:rPr>
              <m:sty m:val="p"/>
            </m:rPr>
            <m:t>(</m:t>
          </m:r>
          <m:r>
            <m:t>M</m:t>
          </m:r>
          <m:r>
            <m:rPr>
              <m:sty m:val="p"/>
            </m:rPr>
            <m:t>)</m:t>
          </m:r>
          <m:r>
            <m:rPr>
              <m:sty m:val="p"/>
            </m:rPr>
            <m:t>=</m:t>
          </m:r>
          <m:f>
            <m:fPr>
              <m:type m:val="bar"/>
            </m:fPr>
            <m:num>
              <m:sSub>
                <m:e>
                  <m:r>
                    <m:rPr>
                      <m:sty m:val="p"/>
                    </m:rPr>
                    <m:t>log</m:t>
                  </m:r>
                </m:e>
                <m:sub>
                  <m:r>
                    <m:t>10</m:t>
                  </m:r>
                </m:sub>
              </m:sSub>
              <m:r>
                <m:t>M</m:t>
              </m:r>
              <m:r>
                <m:rPr>
                  <m:sty m:val="p"/>
                </m:rPr>
                <m:t>−</m:t>
              </m:r>
              <m:sSub>
                <m:e>
                  <m:r>
                    <m:rPr>
                      <m:sty m:val="p"/>
                    </m:rPr>
                    <m:t>log</m:t>
                  </m:r>
                </m:e>
                <m:sub>
                  <m:r>
                    <m:t>10</m:t>
                  </m:r>
                </m:sub>
              </m:sSub>
              <m:sSub>
                <m:e>
                  <m:r>
                    <m:t>M</m:t>
                  </m:r>
                </m:e>
                <m:sub>
                  <m:r>
                    <m:rPr>
                      <m:sty m:val="p"/>
                    </m:rPr>
                    <m:t>min</m:t>
                  </m:r>
                </m:sub>
              </m:sSub>
            </m:num>
            <m:den>
              <m:sSub>
                <m:e>
                  <m:r>
                    <m:rPr>
                      <m:sty m:val="p"/>
                    </m:rPr>
                    <m:t>log</m:t>
                  </m:r>
                </m:e>
                <m:sub>
                  <m:r>
                    <m:t>10</m:t>
                  </m:r>
                </m:sub>
              </m:sSub>
              <m:sSub>
                <m:e>
                  <m:r>
                    <m:t>M</m:t>
                  </m:r>
                </m:e>
                <m:sub>
                  <m:r>
                    <m:rPr>
                      <m:sty m:val="p"/>
                    </m:rPr>
                    <m:t>max</m:t>
                  </m:r>
                </m:sub>
              </m:sSub>
              <m:r>
                <m:rPr>
                  <m:sty m:val="p"/>
                </m:rPr>
                <m:t>−</m:t>
              </m:r>
              <m:sSub>
                <m:e>
                  <m:r>
                    <m:rPr>
                      <m:sty m:val="p"/>
                    </m:rPr>
                    <m:t>log</m:t>
                  </m:r>
                </m:e>
                <m:sub>
                  <m:r>
                    <m:t>10</m:t>
                  </m:r>
                </m:sub>
              </m:sSub>
              <m:sSub>
                <m:e>
                  <m:r>
                    <m:t>M</m:t>
                  </m:r>
                </m:e>
                <m:sub>
                  <m:r>
                    <m:rPr>
                      <m:sty m:val="p"/>
                    </m:rPr>
                    <m:t>min</m:t>
                  </m:r>
                </m:sub>
              </m:sSub>
            </m:den>
          </m:f>
          <m:r>
            <m:rPr>
              <m:sty m:val="p"/>
            </m:rPr>
            <m:t>.</m:t>
          </m:r>
        </m:oMath>
      </m:oMathPara>
    </w:p>
    <w:p>
      <w:pPr>
        <w:pStyle w:val="FirstParagraph"/>
      </w:pPr>
      <w:r>
        <w:t xml:space="preserve">Für</w:t>
      </w:r>
      <w:r>
        <w:t xml:space="preserve"> </w:t>
      </w:r>
      <m:oMath>
        <m:r>
          <m:t>M</m:t>
        </m:r>
        <m:r>
          <m:rPr>
            <m:sty m:val="p"/>
          </m:rPr>
          <m:t>≤</m:t>
        </m:r>
        <m:r>
          <m:t>0</m:t>
        </m:r>
      </m:oMath>
      <w:r>
        <w:t xml:space="preserve"> </w:t>
      </w:r>
      <w:r>
        <w:t xml:space="preserve">wird der Marker am linken Rand gezeigt. Für</w:t>
      </w:r>
      <w:r>
        <w:t xml:space="preserve"> </w:t>
      </w:r>
      <m:oMath>
        <m:r>
          <m:t>M</m:t>
        </m:r>
        <m:r>
          <m:rPr>
            <m:sty m:val="p"/>
          </m:rPr>
          <m:t>≥</m:t>
        </m:r>
        <m:sSup>
          <m:e>
            <m:r>
              <m:t>10</m:t>
            </m:r>
          </m:e>
          <m:sup>
            <m:r>
              <m:t>6</m:t>
            </m:r>
          </m:sup>
        </m:sSup>
      </m:oMath>
      <w:r>
        <w:t xml:space="preserve"> </w:t>
      </w:r>
      <w:r>
        <w:t xml:space="preserve">wird er rechts begrenzt. Kategorie, Farbbänder und Marker müssen dieselben Grenzwerte verwenden.</w:t>
      </w:r>
    </w:p>
    <w:p>
      <w:pPr>
        <w:pStyle w:val="BodyText"/>
      </w:pPr>
      <w:r>
        <w:t xml:space="preserve">Rundung folgt der Größenordnung. Eine Anzeige soll Unterschiede sichtbar machen, ohne nicht vorhandene Genauigkeit vorzutäuschen. Das interne Rechenmodell behält volle Präzision; nur die Darstellung wird gerundet.</w:t>
      </w:r>
    </w:p>
    <w:bookmarkEnd w:id="95"/>
    <w:bookmarkStart w:id="99" w:name="software--und-datenarchitektur"/>
    <w:p>
      <w:pPr>
        <w:pStyle w:val="Heading1"/>
      </w:pPr>
      <w:r>
        <w:rPr>
          <w:rStyle w:val="SectionNumber"/>
        </w:rPr>
        <w:t xml:space="preserve">15</w:t>
      </w:r>
      <w:r>
        <w:tab/>
      </w:r>
      <w:r>
        <w:t xml:space="preserve">14. Software- und Datenarchitektur</w:t>
      </w:r>
    </w:p>
    <w:bookmarkStart w:id="96" w:name="schichten"/>
    <w:p>
      <w:pPr>
        <w:pStyle w:val="Heading2"/>
      </w:pPr>
      <w:r>
        <w:rPr>
          <w:rStyle w:val="SectionNumber"/>
        </w:rPr>
        <w:t xml:space="preserve">15.1</w:t>
      </w:r>
      <w:r>
        <w:tab/>
      </w:r>
      <w:r>
        <w:t xml:space="preserve">14.1 Schichten</w:t>
      </w:r>
    </w:p>
    <w:p>
      <w:pPr>
        <w:pStyle w:val="Compact"/>
        <w:numPr>
          <w:ilvl w:val="0"/>
          <w:numId w:val="1009"/>
        </w:numPr>
      </w:pPr>
      <w:r>
        <w:rPr>
          <w:b/>
          <w:bCs/>
        </w:rPr>
        <w:t xml:space="preserve">Data Registry:</w:t>
      </w:r>
      <w:r>
        <w:t xml:space="preserve"> </w:t>
      </w:r>
      <w:r>
        <w:t xml:space="preserve">Datensätze, Versionen, Lizenzen, Populationen, Definitionen.</w:t>
      </w:r>
    </w:p>
    <w:p>
      <w:pPr>
        <w:pStyle w:val="Compact"/>
        <w:numPr>
          <w:ilvl w:val="0"/>
          <w:numId w:val="1009"/>
        </w:numPr>
      </w:pPr>
      <w:r>
        <w:rPr>
          <w:b/>
          <w:bCs/>
        </w:rPr>
        <w:t xml:space="preserve">Parameter Registry:</w:t>
      </w:r>
      <w:r>
        <w:t xml:space="preserve"> </w:t>
      </w:r>
      <w:r>
        <w:t xml:space="preserve">Verteilungen, Einheiten, Evidence Gate, Gültigkeit.</w:t>
      </w:r>
    </w:p>
    <w:p>
      <w:pPr>
        <w:pStyle w:val="Compact"/>
        <w:numPr>
          <w:ilvl w:val="0"/>
          <w:numId w:val="1009"/>
        </w:numPr>
      </w:pPr>
      <w:r>
        <w:rPr>
          <w:b/>
          <w:bCs/>
        </w:rPr>
        <w:t xml:space="preserve">Domain Adapters:</w:t>
      </w:r>
      <w:r>
        <w:t xml:space="preserve"> </w:t>
      </w:r>
      <w:r>
        <w:t xml:space="preserve">Ereignis- und Endpunktmodelle.</w:t>
      </w:r>
    </w:p>
    <w:p>
      <w:pPr>
        <w:pStyle w:val="Compact"/>
        <w:numPr>
          <w:ilvl w:val="0"/>
          <w:numId w:val="1009"/>
        </w:numPr>
      </w:pPr>
      <w:r>
        <w:rPr>
          <w:b/>
          <w:bCs/>
        </w:rPr>
        <w:t xml:space="preserve">Dependency Graph:</w:t>
      </w:r>
      <w:r>
        <w:t xml:space="preserve"> </w:t>
      </w:r>
      <w:r>
        <w:t xml:space="preserve">Korrelationen, Interaktionen, gemeinsame Quellen.</w:t>
      </w:r>
    </w:p>
    <w:p>
      <w:pPr>
        <w:pStyle w:val="Compact"/>
        <w:numPr>
          <w:ilvl w:val="0"/>
          <w:numId w:val="1009"/>
        </w:numPr>
      </w:pPr>
      <w:r>
        <w:rPr>
          <w:b/>
          <w:bCs/>
        </w:rPr>
        <w:t xml:space="preserve">Simulation Engine:</w:t>
      </w:r>
      <w:r>
        <w:t xml:space="preserve"> </w:t>
      </w:r>
      <w:r>
        <w:t xml:space="preserve">deterministische und Monte-Carlo-Rechnung.</w:t>
      </w:r>
    </w:p>
    <w:p>
      <w:pPr>
        <w:pStyle w:val="Compact"/>
        <w:numPr>
          <w:ilvl w:val="0"/>
          <w:numId w:val="1009"/>
        </w:numPr>
      </w:pPr>
      <w:r>
        <w:rPr>
          <w:b/>
          <w:bCs/>
        </w:rPr>
        <w:t xml:space="preserve">Aggregation Engine:</w:t>
      </w:r>
      <w:r>
        <w:t xml:space="preserve"> </w:t>
      </w:r>
      <w:r>
        <w:t xml:space="preserve">Hazards, Endpunkte und Zeitaggregation.</w:t>
      </w:r>
    </w:p>
    <w:p>
      <w:pPr>
        <w:pStyle w:val="Compact"/>
        <w:numPr>
          <w:ilvl w:val="0"/>
          <w:numId w:val="1009"/>
        </w:numPr>
      </w:pPr>
      <w:r>
        <w:rPr>
          <w:b/>
          <w:bCs/>
        </w:rPr>
        <w:t xml:space="preserve">Validation Layer:</w:t>
      </w:r>
      <w:r>
        <w:t xml:space="preserve"> </w:t>
      </w:r>
      <w:r>
        <w:t xml:space="preserve">Invarianten, Kalibrierung, Drift.</w:t>
      </w:r>
    </w:p>
    <w:p>
      <w:pPr>
        <w:pStyle w:val="Compact"/>
        <w:numPr>
          <w:ilvl w:val="0"/>
          <w:numId w:val="1009"/>
        </w:numPr>
      </w:pPr>
      <w:r>
        <w:rPr>
          <w:b/>
          <w:bCs/>
        </w:rPr>
        <w:t xml:space="preserve">Presentation Layer:</w:t>
      </w:r>
      <w:r>
        <w:t xml:space="preserve"> </w:t>
      </w:r>
      <w:r>
        <w:t xml:space="preserve">Skala, Rundung, Sprache und Erklärungen.</w:t>
      </w:r>
    </w:p>
    <w:p>
      <w:pPr>
        <w:pStyle w:val="Compact"/>
        <w:numPr>
          <w:ilvl w:val="0"/>
          <w:numId w:val="1009"/>
        </w:numPr>
      </w:pPr>
      <w:r>
        <w:rPr>
          <w:b/>
          <w:bCs/>
        </w:rPr>
        <w:t xml:space="preserve">Audit Layer:</w:t>
      </w:r>
      <w:r>
        <w:t xml:space="preserve"> </w:t>
      </w:r>
      <w:r>
        <w:t xml:space="preserve">Quellen-, Daten-, Parameter- und Modellprovenienz.</w:t>
      </w:r>
    </w:p>
    <w:bookmarkEnd w:id="96"/>
    <w:bookmarkStart w:id="97" w:name="ergebnisobjekt"/>
    <w:p>
      <w:pPr>
        <w:pStyle w:val="Heading2"/>
      </w:pPr>
      <w:r>
        <w:rPr>
          <w:rStyle w:val="SectionNumber"/>
        </w:rPr>
        <w:t xml:space="preserve">15.2</w:t>
      </w:r>
      <w:r>
        <w:tab/>
      </w:r>
      <w:r>
        <w:t xml:space="preserve">14.2 Ergebnisobjekt</w:t>
      </w:r>
    </w:p>
    <w:p>
      <w:pPr>
        <w:pStyle w:val="FirstParagraph"/>
      </w:pPr>
      <w:r>
        <w:t xml:space="preserve">Ein Ergebnis enthält mindestens: Szenario-ID, Endpunkt, Punktschätzer, Intervall, Einheit, Qualitätsstatus, Haupttreiber, Modellversion, Datenversionen und Extrapolationsstatus.</w:t>
      </w:r>
    </w:p>
    <w:bookmarkEnd w:id="97"/>
    <w:bookmarkStart w:id="98" w:name="reproduzierbarkeit"/>
    <w:p>
      <w:pPr>
        <w:pStyle w:val="Heading2"/>
      </w:pPr>
      <w:r>
        <w:rPr>
          <w:rStyle w:val="SectionNumber"/>
        </w:rPr>
        <w:t xml:space="preserve">15.3</w:t>
      </w:r>
      <w:r>
        <w:tab/>
      </w:r>
      <w:r>
        <w:t xml:space="preserve">14.3 Reproduzierbarkeit</w:t>
      </w:r>
    </w:p>
    <w:p>
      <w:pPr>
        <w:pStyle w:val="FirstParagraph"/>
      </w:pPr>
      <w:r>
        <w:t xml:space="preserve">Jede Berechnung speichert den verwendeten Parameter-Snapshot. Monte-Carlo-Läufe verwenden dokumentierte Seeds. Quellupdates lösen automatisierte Regressionstests aus. Historische Ergebnisse bleiben mit der damaligen Modellversion reproduzierbar.</w:t>
      </w:r>
    </w:p>
    <w:bookmarkEnd w:id="98"/>
    <w:bookmarkEnd w:id="99"/>
    <w:bookmarkStart w:id="109" w:name="X10a111cb04c24e740a02a1be8d1d5130be3f501"/>
    <w:p>
      <w:pPr>
        <w:pStyle w:val="Heading1"/>
      </w:pPr>
      <w:r>
        <w:rPr>
          <w:rStyle w:val="SectionNumber"/>
        </w:rPr>
        <w:t xml:space="preserve">16</w:t>
      </w:r>
      <w:r>
        <w:tab/>
      </w:r>
      <w:r>
        <w:t xml:space="preserve">15. Systematische Literatur- und Datenrecherche</w:t>
      </w:r>
    </w:p>
    <w:bookmarkStart w:id="100" w:name="recherchestrategie"/>
    <w:p>
      <w:pPr>
        <w:pStyle w:val="Heading2"/>
      </w:pPr>
      <w:r>
        <w:rPr>
          <w:rStyle w:val="SectionNumber"/>
        </w:rPr>
        <w:t xml:space="preserve">16.1</w:t>
      </w:r>
      <w:r>
        <w:tab/>
      </w:r>
      <w:r>
        <w:t xml:space="preserve">15.1 Recherchestrategie</w:t>
      </w:r>
    </w:p>
    <w:p>
      <w:pPr>
        <w:pStyle w:val="FirstParagraph"/>
      </w:pPr>
      <w:r>
        <w:t xml:space="preserve">Die Literaturrecherche folgt vier Ebenen:</w:t>
      </w:r>
    </w:p>
    <w:p>
      <w:pPr>
        <w:pStyle w:val="Compact"/>
        <w:numPr>
          <w:ilvl w:val="0"/>
          <w:numId w:val="1010"/>
        </w:numPr>
      </w:pPr>
      <w:r>
        <w:t xml:space="preserve">offizielle Statistik und regulatorische Methodik;</w:t>
      </w:r>
    </w:p>
    <w:p>
      <w:pPr>
        <w:pStyle w:val="Compact"/>
        <w:numPr>
          <w:ilvl w:val="0"/>
          <w:numId w:val="1010"/>
        </w:numPr>
      </w:pPr>
      <w:r>
        <w:t xml:space="preserve">internationale Standards und Konsensuspapiere;</w:t>
      </w:r>
    </w:p>
    <w:p>
      <w:pPr>
        <w:pStyle w:val="Compact"/>
        <w:numPr>
          <w:ilvl w:val="0"/>
          <w:numId w:val="1010"/>
        </w:numPr>
      </w:pPr>
      <w:r>
        <w:t xml:space="preserve">peer-reviewte epidemiologische oder aktuarielle Forschung;</w:t>
      </w:r>
    </w:p>
    <w:p>
      <w:pPr>
        <w:pStyle w:val="Compact"/>
        <w:numPr>
          <w:ilvl w:val="0"/>
          <w:numId w:val="1010"/>
        </w:numPr>
      </w:pPr>
      <w:r>
        <w:t xml:space="preserve">technische Datenbanken, Codebooks und Implementierungsleitfäden.</w:t>
      </w:r>
    </w:p>
    <w:p>
      <w:pPr>
        <w:pStyle w:val="FirstParagraph"/>
      </w:pPr>
      <w:r>
        <w:t xml:space="preserve">Für jede Quelle werden Domäne, Population, Endpunkt, Exposition, Aktualisierung, Lizenz, Variablen, Unsicherheit und Übertragbarkeit erfasst.</w:t>
      </w:r>
    </w:p>
    <w:bookmarkEnd w:id="100"/>
    <w:bookmarkStart w:id="101" w:name="kernquellen-nach-themenfeld"/>
    <w:p>
      <w:pPr>
        <w:pStyle w:val="Heading2"/>
      </w:pPr>
      <w:r>
        <w:rPr>
          <w:rStyle w:val="SectionNumber"/>
        </w:rPr>
        <w:t xml:space="preserve">16.2</w:t>
      </w:r>
      <w:r>
        <w:tab/>
      </w:r>
      <w:r>
        <w:t xml:space="preserve">15.2 Kernquellen nach Themenfeld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Themenfeld</w:t>
            </w:r>
          </w:p>
        </w:tc>
        <w:tc>
          <w:tcPr/>
          <w:p>
            <w:pPr>
              <w:pStyle w:val="Compact"/>
            </w:pPr>
            <w:r>
              <w:t xml:space="preserve">Kernquellen</w:t>
            </w:r>
          </w:p>
        </w:tc>
        <w:tc>
          <w:tcPr/>
          <w:p>
            <w:pPr>
              <w:pStyle w:val="Compact"/>
            </w:pPr>
            <w:r>
              <w:t xml:space="preserve">Geplanter Nutzen</w:t>
            </w:r>
          </w:p>
        </w:tc>
      </w:tr>
      <w:tr>
        <w:tc>
          <w:tcPr/>
          <w:p>
            <w:pPr>
              <w:pStyle w:val="Compact"/>
            </w:pPr>
            <w:r>
              <w:t xml:space="preserve">allgemeines Risikomanagement</w:t>
            </w:r>
          </w:p>
        </w:tc>
        <w:tc>
          <w:tcPr/>
          <w:p>
            <w:pPr>
              <w:pStyle w:val="Compact"/>
            </w:pPr>
            <w:r>
              <w:t xml:space="preserve">ISO 31000; IEC 31010</w:t>
            </w:r>
          </w:p>
        </w:tc>
        <w:tc>
          <w:tcPr/>
          <w:p>
            <w:pPr>
              <w:pStyle w:val="Compact"/>
            </w:pPr>
            <w:r>
              <w:t xml:space="preserve">Begriffe, Prozess, Kommunikation, Review</w:t>
            </w:r>
          </w:p>
        </w:tc>
      </w:tr>
      <w:tr>
        <w:tc>
          <w:tcPr/>
          <w:p>
            <w:pPr>
              <w:pStyle w:val="Compact"/>
            </w:pPr>
            <w:r>
              <w:t xml:space="preserve">probabilistische Risikoanalyse</w:t>
            </w:r>
          </w:p>
        </w:tc>
        <w:tc>
          <w:tcPr/>
          <w:p>
            <w:pPr>
              <w:pStyle w:val="Compact"/>
            </w:pPr>
            <w:r>
              <w:t xml:space="preserve">US EPA PRA White Paper; EPA Monte Carlo Principles; US NRC PRA</w:t>
            </w:r>
          </w:p>
        </w:tc>
        <w:tc>
          <w:tcPr/>
          <w:p>
            <w:pPr>
              <w:pStyle w:val="Compact"/>
            </w:pPr>
            <w:r>
              <w:t xml:space="preserve">Variabilität, Unsicherheit, Szenarien, Sensitivität</w:t>
            </w:r>
          </w:p>
        </w:tc>
      </w:tr>
      <w:tr>
        <w:tc>
          <w:tcPr/>
          <w:p>
            <w:pPr>
              <w:pStyle w:val="Compact"/>
            </w:pPr>
            <w:r>
              <w:t xml:space="preserve">Verkehrssicherheit</w:t>
            </w:r>
          </w:p>
        </w:tc>
        <w:tc>
          <w:tcPr/>
          <w:p>
            <w:pPr>
              <w:pStyle w:val="Compact"/>
            </w:pPr>
            <w:r>
              <w:t xml:space="preserve">Destatis 46241; BASt; WHO Data Systems Manual; HSM; CMF Clearinghouse</w:t>
            </w:r>
          </w:p>
        </w:tc>
        <w:tc>
          <w:tcPr/>
          <w:p>
            <w:pPr>
              <w:pStyle w:val="Compact"/>
            </w:pPr>
            <w:r>
              <w:t xml:space="preserve">Ereignisraten, Endpunkte, Exposition, Gegenmaßnahmen</w:t>
            </w:r>
          </w:p>
        </w:tc>
      </w:tr>
      <w:tr>
        <w:tc>
          <w:tcPr/>
          <w:p>
            <w:pPr>
              <w:pStyle w:val="Compact"/>
            </w:pPr>
            <w:r>
              <w:t xml:space="preserve">Pkw-Schutzbarrieren</w:t>
            </w:r>
          </w:p>
        </w:tc>
        <w:tc>
          <w:tcPr/>
          <w:p>
            <w:pPr>
              <w:pStyle w:val="Compact"/>
            </w:pPr>
            <w:r>
              <w:t xml:space="preserve">NHTSA; IIHS; CARE/CADAS; nationale Unfallforschung</w:t>
            </w:r>
          </w:p>
        </w:tc>
        <w:tc>
          <w:tcPr/>
          <w:p>
            <w:pPr>
              <w:pStyle w:val="Compact"/>
            </w:pPr>
            <w:r>
              <w:t xml:space="preserve">Gurt, Sitz, Fahrzeug, Assistenzsysteme</w:t>
            </w:r>
          </w:p>
        </w:tc>
      </w:tr>
      <w:tr>
        <w:tc>
          <w:tcPr/>
          <w:p>
            <w:pPr>
              <w:pStyle w:val="Compact"/>
            </w:pPr>
            <w:r>
              <w:t xml:space="preserve">Aktuariat</w:t>
            </w:r>
          </w:p>
        </w:tc>
        <w:tc>
          <w:tcPr/>
          <w:p>
            <w:pPr>
              <w:pStyle w:val="Compact"/>
            </w:pPr>
            <w:r>
              <w:t xml:space="preserve">CAS GLM Monographs; Loss Data Analytics; ASOP 25/41/56</w:t>
            </w:r>
          </w:p>
        </w:tc>
        <w:tc>
          <w:tcPr/>
          <w:p>
            <w:pPr>
              <w:pStyle w:val="Compact"/>
            </w:pPr>
            <w:r>
              <w:t xml:space="preserve">Frequenz, Schwere, Credibility, Modellgovernance</w:t>
            </w:r>
          </w:p>
        </w:tc>
      </w:tr>
      <w:tr>
        <w:tc>
          <w:tcPr/>
          <w:p>
            <w:pPr>
              <w:pStyle w:val="Compact"/>
            </w:pPr>
            <w:r>
              <w:t xml:space="preserve">Sport</w:t>
            </w:r>
          </w:p>
        </w:tc>
        <w:tc>
          <w:tcPr/>
          <w:p>
            <w:pPr>
              <w:pStyle w:val="Compact"/>
            </w:pPr>
            <w:r>
              <w:t xml:space="preserve">IOC STROBE-SIIS; sportartspezifische Konsensuspapiere</w:t>
            </w:r>
          </w:p>
        </w:tc>
        <w:tc>
          <w:tcPr/>
          <w:p>
            <w:pPr>
              <w:pStyle w:val="Compact"/>
            </w:pPr>
            <w:r>
              <w:t xml:space="preserve">Definitionen, Athletenexposition, Schwere, Burden</w:t>
            </w:r>
          </w:p>
        </w:tc>
      </w:tr>
      <w:tr>
        <w:tc>
          <w:tcPr/>
          <w:p>
            <w:pPr>
              <w:pStyle w:val="Compact"/>
            </w:pPr>
            <w:r>
              <w:t xml:space="preserve">Arbeit</w:t>
            </w:r>
          </w:p>
        </w:tc>
        <w:tc>
          <w:tcPr/>
          <w:p>
            <w:pPr>
              <w:pStyle w:val="Compact"/>
            </w:pPr>
            <w:r>
              <w:t xml:space="preserve">Eurostat ESAW; ILOSTAT; DGUV</w:t>
            </w:r>
          </w:p>
        </w:tc>
        <w:tc>
          <w:tcPr/>
          <w:p>
            <w:pPr>
              <w:pStyle w:val="Compact"/>
            </w:pPr>
            <w:r>
              <w:t xml:space="preserve">harmonisierte Arbeitsunfallmodelle</w:t>
            </w:r>
          </w:p>
        </w:tc>
      </w:tr>
      <w:tr>
        <w:tc>
          <w:tcPr/>
          <w:p>
            <w:pPr>
              <w:pStyle w:val="Compact"/>
            </w:pPr>
            <w:r>
              <w:t xml:space="preserve">Konflikt</w:t>
            </w:r>
          </w:p>
        </w:tc>
        <w:tc>
          <w:tcPr/>
          <w:p>
            <w:pPr>
              <w:pStyle w:val="Compact"/>
            </w:pPr>
            <w:r>
              <w:t xml:space="preserve">UCDP GED; ACLED; WorldPop</w:t>
            </w:r>
          </w:p>
        </w:tc>
        <w:tc>
          <w:tcPr/>
          <w:p>
            <w:pPr>
              <w:pStyle w:val="Compact"/>
            </w:pPr>
            <w:r>
              <w:t xml:space="preserve">georeferenzierte Ereignisse und Bevölkerungsexposition</w:t>
            </w:r>
          </w:p>
        </w:tc>
      </w:tr>
      <w:tr>
        <w:tc>
          <w:tcPr/>
          <w:p>
            <w:pPr>
              <w:pStyle w:val="Compact"/>
            </w:pPr>
            <w:r>
              <w:t xml:space="preserve">Brände</w:t>
            </w:r>
          </w:p>
        </w:tc>
        <w:tc>
          <w:tcPr/>
          <w:p>
            <w:pPr>
              <w:pStyle w:val="Compact"/>
            </w:pPr>
            <w:r>
              <w:t xml:space="preserve">USFA NFIRS; NFPA Research</w:t>
            </w:r>
          </w:p>
        </w:tc>
        <w:tc>
          <w:tcPr/>
          <w:p>
            <w:pPr>
              <w:pStyle w:val="Compact"/>
            </w:pPr>
            <w:r>
              <w:t xml:space="preserve">Brandereignisse, Verletzungen, Barrieren</w:t>
            </w:r>
          </w:p>
        </w:tc>
      </w:tr>
      <w:tr>
        <w:tc>
          <w:tcPr/>
          <w:p>
            <w:pPr>
              <w:pStyle w:val="Compact"/>
            </w:pPr>
            <w:r>
              <w:t xml:space="preserve">Naturgefahren</w:t>
            </w:r>
          </w:p>
        </w:tc>
        <w:tc>
          <w:tcPr/>
          <w:p>
            <w:pPr>
              <w:pStyle w:val="Compact"/>
            </w:pPr>
            <w:r>
              <w:t xml:space="preserve">FEMA Hazus; USGS; Copernicus EMS</w:t>
            </w:r>
          </w:p>
        </w:tc>
        <w:tc>
          <w:tcPr/>
          <w:p>
            <w:pPr>
              <w:pStyle w:val="Compact"/>
            </w:pPr>
            <w:r>
              <w:t xml:space="preserve">Hazardintensität, Inventar, Fragilität, Verluste</w:t>
            </w:r>
          </w:p>
        </w:tc>
      </w:tr>
      <w:tr>
        <w:tc>
          <w:tcPr/>
          <w:p>
            <w:pPr>
              <w:pStyle w:val="Compact"/>
            </w:pPr>
            <w:r>
              <w:t xml:space="preserve">Expositionsbevölkerung</w:t>
            </w:r>
          </w:p>
        </w:tc>
        <w:tc>
          <w:tcPr/>
          <w:p>
            <w:pPr>
              <w:pStyle w:val="Compact"/>
            </w:pPr>
            <w:r>
              <w:t xml:space="preserve">Eurostat, WorldPop, nationale Mobilitätserhebungen</w:t>
            </w:r>
          </w:p>
        </w:tc>
        <w:tc>
          <w:tcPr/>
          <w:p>
            <w:pPr>
              <w:pStyle w:val="Compact"/>
            </w:pPr>
            <w:r>
              <w:t xml:space="preserve">Nenner und Personenzeit</w:t>
            </w:r>
          </w:p>
        </w:tc>
      </w:tr>
      <w:tr>
        <w:tc>
          <w:tcPr/>
          <w:p>
            <w:pPr>
              <w:pStyle w:val="Compact"/>
            </w:pPr>
            <w:r>
              <w:t xml:space="preserve">Validierung</w:t>
            </w:r>
          </w:p>
        </w:tc>
        <w:tc>
          <w:tcPr/>
          <w:p>
            <w:pPr>
              <w:pStyle w:val="Compact"/>
            </w:pPr>
            <w:r>
              <w:t xml:space="preserve">TRIPOD; PROBAST; STROBE; calibration literature</w:t>
            </w:r>
          </w:p>
        </w:tc>
        <w:tc>
          <w:tcPr/>
          <w:p>
            <w:pPr>
              <w:pStyle w:val="Compact"/>
            </w:pPr>
            <w:r>
              <w:t xml:space="preserve">Reporting, Bias, Kalibrierung</w:t>
            </w:r>
          </w:p>
        </w:tc>
      </w:tr>
    </w:tbl>
    <w:bookmarkEnd w:id="101"/>
    <w:bookmarkStart w:id="102" w:name="künftige-mobilitätsquellen"/>
    <w:p>
      <w:pPr>
        <w:pStyle w:val="Heading2"/>
      </w:pPr>
      <w:r>
        <w:rPr>
          <w:rStyle w:val="SectionNumber"/>
        </w:rPr>
        <w:t xml:space="preserve">16.3</w:t>
      </w:r>
      <w:r>
        <w:tab/>
      </w:r>
      <w:r>
        <w:t xml:space="preserve">15.3 Künftige Mobilitätsquellen</w:t>
      </w:r>
    </w:p>
    <w:p>
      <w:pPr>
        <w:pStyle w:val="Compact"/>
        <w:numPr>
          <w:ilvl w:val="0"/>
          <w:numId w:val="1011"/>
        </w:numPr>
      </w:pPr>
      <w:r>
        <w:t xml:space="preserve">Destatis GENESIS 46241 für Straßenverkehrsunfälle nach Straßenklasse, Ortslage und Schwere.</w:t>
      </w:r>
    </w:p>
    <w:p>
      <w:pPr>
        <w:pStyle w:val="Compact"/>
        <w:numPr>
          <w:ilvl w:val="0"/>
          <w:numId w:val="1011"/>
        </w:numPr>
      </w:pPr>
      <w:r>
        <w:t xml:space="preserve">BASt-Berichte und Forschungsdaten für deutsche Verkehrssicherheit.</w:t>
      </w:r>
    </w:p>
    <w:p>
      <w:pPr>
        <w:pStyle w:val="Compact"/>
        <w:numPr>
          <w:ilvl w:val="0"/>
          <w:numId w:val="1011"/>
        </w:numPr>
      </w:pPr>
      <w:r>
        <w:t xml:space="preserve">Mobilität in Deutschland für Wege, Kilometer und Verkehrsmittel.</w:t>
      </w:r>
    </w:p>
    <w:p>
      <w:pPr>
        <w:pStyle w:val="Compact"/>
        <w:numPr>
          <w:ilvl w:val="0"/>
          <w:numId w:val="1011"/>
        </w:numPr>
      </w:pPr>
      <w:r>
        <w:t xml:space="preserve">Deutsches Mobilitätspanel für wiederholte individuelle Exposition.</w:t>
      </w:r>
    </w:p>
    <w:p>
      <w:pPr>
        <w:pStyle w:val="Compact"/>
        <w:numPr>
          <w:ilvl w:val="0"/>
          <w:numId w:val="1011"/>
        </w:numPr>
      </w:pPr>
      <w:r>
        <w:t xml:space="preserve">CARE als europäische Straßenverkehrsunfalldatenbank.</w:t>
      </w:r>
    </w:p>
    <w:p>
      <w:pPr>
        <w:pStyle w:val="Compact"/>
        <w:numPr>
          <w:ilvl w:val="0"/>
          <w:numId w:val="1011"/>
        </w:numPr>
      </w:pPr>
      <w:r>
        <w:t xml:space="preserve">IRTAD/OECD für international harmonisierte Verkehrssicherheitsindikatoren.</w:t>
      </w:r>
    </w:p>
    <w:p>
      <w:pPr>
        <w:pStyle w:val="Compact"/>
        <w:numPr>
          <w:ilvl w:val="0"/>
          <w:numId w:val="1011"/>
        </w:numPr>
      </w:pPr>
      <w:r>
        <w:t xml:space="preserve">WHO Global Status Report und Data Systems Manual.</w:t>
      </w:r>
    </w:p>
    <w:p>
      <w:pPr>
        <w:pStyle w:val="Compact"/>
        <w:numPr>
          <w:ilvl w:val="0"/>
          <w:numId w:val="1011"/>
        </w:numPr>
      </w:pPr>
      <w:r>
        <w:t xml:space="preserve">Highway Safety Manual und Crash Modification Factors Clearinghouse.</w:t>
      </w:r>
    </w:p>
    <w:p>
      <w:pPr>
        <w:pStyle w:val="Compact"/>
        <w:numPr>
          <w:ilvl w:val="0"/>
          <w:numId w:val="1011"/>
        </w:numPr>
      </w:pPr>
      <w:r>
        <w:t xml:space="preserve">NHTSA FARS, CRSS und CISS für tödliche und repräsentative Unfallstichproben sowie Tiefenanalysen.</w:t>
      </w:r>
    </w:p>
    <w:p>
      <w:pPr>
        <w:pStyle w:val="Compact"/>
        <w:numPr>
          <w:ilvl w:val="0"/>
          <w:numId w:val="1011"/>
        </w:numPr>
      </w:pPr>
      <w:r>
        <w:t xml:space="preserve">IIHS/HLDI für Fahrzeug- und Sicherheitssystemanalysen.</w:t>
      </w:r>
    </w:p>
    <w:p>
      <w:pPr>
        <w:pStyle w:val="Compact"/>
        <w:numPr>
          <w:ilvl w:val="0"/>
          <w:numId w:val="1011"/>
        </w:numPr>
      </w:pPr>
      <w:r>
        <w:t xml:space="preserve">Euro NCAP für Test- und Assistenzsysteminformationen; nicht ohne Validierung als Realweltrisiko verwenden.</w:t>
      </w:r>
    </w:p>
    <w:p>
      <w:pPr>
        <w:pStyle w:val="Compact"/>
        <w:numPr>
          <w:ilvl w:val="0"/>
          <w:numId w:val="1011"/>
        </w:numPr>
      </w:pPr>
      <w:r>
        <w:t xml:space="preserve">EASA und ICAO für Luftfahrtunfälle und Exposition.</w:t>
      </w:r>
    </w:p>
    <w:p>
      <w:pPr>
        <w:pStyle w:val="Compact"/>
        <w:numPr>
          <w:ilvl w:val="0"/>
          <w:numId w:val="1011"/>
        </w:numPr>
      </w:pPr>
      <w:r>
        <w:t xml:space="preserve">ERA und nationale Eisenbahnstatistik für Bahnrisiken.</w:t>
      </w:r>
    </w:p>
    <w:bookmarkEnd w:id="102"/>
    <w:bookmarkStart w:id="103" w:name="künftige-sportquellen"/>
    <w:p>
      <w:pPr>
        <w:pStyle w:val="Heading2"/>
      </w:pPr>
      <w:r>
        <w:rPr>
          <w:rStyle w:val="SectionNumber"/>
        </w:rPr>
        <w:t xml:space="preserve">16.4</w:t>
      </w:r>
      <w:r>
        <w:tab/>
      </w:r>
      <w:r>
        <w:t xml:space="preserve">15.4 Künftige Sportquellen</w:t>
      </w:r>
    </w:p>
    <w:p>
      <w:pPr>
        <w:pStyle w:val="Compact"/>
        <w:numPr>
          <w:ilvl w:val="0"/>
          <w:numId w:val="1012"/>
        </w:numPr>
      </w:pPr>
      <w:r>
        <w:t xml:space="preserve">IOC STROBE-SIIS als einheitlicher Reportingrahmen.</w:t>
      </w:r>
    </w:p>
    <w:p>
      <w:pPr>
        <w:pStyle w:val="Compact"/>
        <w:numPr>
          <w:ilvl w:val="0"/>
          <w:numId w:val="1012"/>
        </w:numPr>
      </w:pPr>
      <w:r>
        <w:t xml:space="preserve">NCAA Injury Surveillance Program.</w:t>
      </w:r>
    </w:p>
    <w:p>
      <w:pPr>
        <w:pStyle w:val="Compact"/>
        <w:numPr>
          <w:ilvl w:val="0"/>
          <w:numId w:val="1012"/>
        </w:numPr>
      </w:pPr>
      <w:r>
        <w:t xml:space="preserve">High School RIO.</w:t>
      </w:r>
    </w:p>
    <w:p>
      <w:pPr>
        <w:pStyle w:val="Compact"/>
        <w:numPr>
          <w:ilvl w:val="0"/>
          <w:numId w:val="1012"/>
        </w:numPr>
      </w:pPr>
      <w:r>
        <w:t xml:space="preserve">Fédération Internationale de Football Association und UEFA Injury Study.</w:t>
      </w:r>
    </w:p>
    <w:p>
      <w:pPr>
        <w:pStyle w:val="Compact"/>
        <w:numPr>
          <w:ilvl w:val="0"/>
          <w:numId w:val="1012"/>
        </w:numPr>
      </w:pPr>
      <w:r>
        <w:t xml:space="preserve">World Rugby injury surveillance and consensus definitions.</w:t>
      </w:r>
    </w:p>
    <w:p>
      <w:pPr>
        <w:pStyle w:val="Compact"/>
        <w:numPr>
          <w:ilvl w:val="0"/>
          <w:numId w:val="1012"/>
        </w:numPr>
      </w:pPr>
      <w:r>
        <w:t xml:space="preserve">International Climbing and Mountaineering Federation injury classifications.</w:t>
      </w:r>
    </w:p>
    <w:p>
      <w:pPr>
        <w:pStyle w:val="Compact"/>
        <w:numPr>
          <w:ilvl w:val="0"/>
          <w:numId w:val="1012"/>
        </w:numPr>
      </w:pPr>
      <w:r>
        <w:t xml:space="preserve">Fédération Internationale de Ski injury surveillance.</w:t>
      </w:r>
    </w:p>
    <w:p>
      <w:pPr>
        <w:pStyle w:val="Compact"/>
        <w:numPr>
          <w:ilvl w:val="0"/>
          <w:numId w:val="1012"/>
        </w:numPr>
      </w:pPr>
      <w:r>
        <w:t xml:space="preserve">sportartspezifische Konsensuspapiere für Radsport, Tennis, Golf und Parasport.</w:t>
      </w:r>
    </w:p>
    <w:p>
      <w:pPr>
        <w:pStyle w:val="FirstParagraph"/>
      </w:pPr>
      <w:r>
        <w:t xml:space="preserve">Nur Quellen mit definierter Athletenexposition und kompatibler Verletzungsdefinition eignen sich für Ratenvergleiche.</w:t>
      </w:r>
    </w:p>
    <w:bookmarkEnd w:id="103"/>
    <w:bookmarkStart w:id="104" w:name="künftige-arbeitsunfallquellen"/>
    <w:p>
      <w:pPr>
        <w:pStyle w:val="Heading2"/>
      </w:pPr>
      <w:r>
        <w:rPr>
          <w:rStyle w:val="SectionNumber"/>
        </w:rPr>
        <w:t xml:space="preserve">16.5</w:t>
      </w:r>
      <w:r>
        <w:tab/>
      </w:r>
      <w:r>
        <w:t xml:space="preserve">15.5 Künftige Arbeitsunfallquellen</w:t>
      </w:r>
    </w:p>
    <w:p>
      <w:pPr>
        <w:pStyle w:val="Compact"/>
        <w:numPr>
          <w:ilvl w:val="0"/>
          <w:numId w:val="1013"/>
        </w:numPr>
      </w:pPr>
      <w:r>
        <w:t xml:space="preserve">Eurostat ESAW Methodology und Mikrodatenklassifikationen.</w:t>
      </w:r>
    </w:p>
    <w:p>
      <w:pPr>
        <w:pStyle w:val="Compact"/>
        <w:numPr>
          <w:ilvl w:val="0"/>
          <w:numId w:val="1013"/>
        </w:numPr>
      </w:pPr>
      <w:r>
        <w:t xml:space="preserve">DGUV Arbeitsunfallstatistik für Deutschland.</w:t>
      </w:r>
    </w:p>
    <w:p>
      <w:pPr>
        <w:pStyle w:val="Compact"/>
        <w:numPr>
          <w:ilvl w:val="0"/>
          <w:numId w:val="1013"/>
        </w:numPr>
      </w:pPr>
      <w:r>
        <w:t xml:space="preserve">ILOSTAT occupational injuries.</w:t>
      </w:r>
    </w:p>
    <w:p>
      <w:pPr>
        <w:pStyle w:val="Compact"/>
        <w:numPr>
          <w:ilvl w:val="0"/>
          <w:numId w:val="1013"/>
        </w:numPr>
      </w:pPr>
      <w:r>
        <w:t xml:space="preserve">nationale Arbeitszeit- und Beschäftigungsstatistiken als Expositionsnenner.</w:t>
      </w:r>
    </w:p>
    <w:p>
      <w:pPr>
        <w:pStyle w:val="Compact"/>
        <w:numPr>
          <w:ilvl w:val="0"/>
          <w:numId w:val="1013"/>
        </w:numPr>
      </w:pPr>
      <w:r>
        <w:t xml:space="preserve">branchenspezifische Berufsgenossenschaften.</w:t>
      </w:r>
    </w:p>
    <w:bookmarkEnd w:id="104"/>
    <w:bookmarkStart w:id="105" w:name="künftige-konfliktquellen"/>
    <w:p>
      <w:pPr>
        <w:pStyle w:val="Heading2"/>
      </w:pPr>
      <w:r>
        <w:rPr>
          <w:rStyle w:val="SectionNumber"/>
        </w:rPr>
        <w:t xml:space="preserve">16.6</w:t>
      </w:r>
      <w:r>
        <w:tab/>
      </w:r>
      <w:r>
        <w:t xml:space="preserve">15.6 Künftige Konfliktquellen</w:t>
      </w:r>
    </w:p>
    <w:p>
      <w:pPr>
        <w:pStyle w:val="Compact"/>
        <w:numPr>
          <w:ilvl w:val="0"/>
          <w:numId w:val="1014"/>
        </w:numPr>
      </w:pPr>
      <w:r>
        <w:t xml:space="preserve">UCDP GED mit Codebook, Ereignis-, Geo- und Todeszahlsicherheit.</w:t>
      </w:r>
    </w:p>
    <w:p>
      <w:pPr>
        <w:pStyle w:val="Compact"/>
        <w:numPr>
          <w:ilvl w:val="0"/>
          <w:numId w:val="1014"/>
        </w:numPr>
      </w:pPr>
      <w:r>
        <w:t xml:space="preserve">ACLED Codebook, Methodology und Conflict Exposure.</w:t>
      </w:r>
    </w:p>
    <w:p>
      <w:pPr>
        <w:pStyle w:val="Compact"/>
        <w:numPr>
          <w:ilvl w:val="0"/>
          <w:numId w:val="1014"/>
        </w:numPr>
      </w:pPr>
      <w:r>
        <w:t xml:space="preserve">WorldPop für kleinräumige Bevölkerungsflächen.</w:t>
      </w:r>
    </w:p>
    <w:p>
      <w:pPr>
        <w:pStyle w:val="Compact"/>
        <w:numPr>
          <w:ilvl w:val="0"/>
          <w:numId w:val="1014"/>
        </w:numPr>
      </w:pPr>
      <w:r>
        <w:t xml:space="preserve">UNHCR und IOM für Flucht- und Binnenvertreibungsdynamik.</w:t>
      </w:r>
    </w:p>
    <w:p>
      <w:pPr>
        <w:pStyle w:val="Compact"/>
        <w:numPr>
          <w:ilvl w:val="0"/>
          <w:numId w:val="1014"/>
        </w:numPr>
      </w:pPr>
      <w:r>
        <w:t xml:space="preserve">OCHA Humanitarian Data Exchange.</w:t>
      </w:r>
    </w:p>
    <w:p>
      <w:pPr>
        <w:pStyle w:val="Compact"/>
        <w:numPr>
          <w:ilvl w:val="0"/>
          <w:numId w:val="1014"/>
        </w:numPr>
      </w:pPr>
      <w:r>
        <w:t xml:space="preserve">Explosive Weapons Monitoring und mine-action datasets für Teilereignisse.</w:t>
      </w:r>
    </w:p>
    <w:p>
      <w:pPr>
        <w:pStyle w:val="FirstParagraph"/>
      </w:pPr>
      <w:r>
        <w:t xml:space="preserve">Ereignisse, Bevölkerung und Aufenthaltszeit müssen zeitlich synchronisiert werden. Statische Bevölkerungsgitter sind in dynamischen Konflikten epistemisch unsicher.</w:t>
      </w:r>
    </w:p>
    <w:bookmarkEnd w:id="105"/>
    <w:bookmarkStart w:id="106" w:name="künftige-brand--und-naturgefahrenquellen"/>
    <w:p>
      <w:pPr>
        <w:pStyle w:val="Heading2"/>
      </w:pPr>
      <w:r>
        <w:rPr>
          <w:rStyle w:val="SectionNumber"/>
        </w:rPr>
        <w:t xml:space="preserve">16.7</w:t>
      </w:r>
      <w:r>
        <w:tab/>
      </w:r>
      <w:r>
        <w:t xml:space="preserve">15.7 Künftige Brand- und Naturgefahrenquellen</w:t>
      </w:r>
    </w:p>
    <w:p>
      <w:pPr>
        <w:pStyle w:val="Compact"/>
        <w:numPr>
          <w:ilvl w:val="0"/>
          <w:numId w:val="1015"/>
        </w:numPr>
      </w:pPr>
      <w:r>
        <w:t xml:space="preserve">USFA NFIRS und Methodology Overview.</w:t>
      </w:r>
    </w:p>
    <w:p>
      <w:pPr>
        <w:pStyle w:val="Compact"/>
        <w:numPr>
          <w:ilvl w:val="0"/>
          <w:numId w:val="1015"/>
        </w:numPr>
      </w:pPr>
      <w:r>
        <w:t xml:space="preserve">NFPA Fire Experience Survey und Barrierenberichte.</w:t>
      </w:r>
    </w:p>
    <w:p>
      <w:pPr>
        <w:pStyle w:val="Compact"/>
        <w:numPr>
          <w:ilvl w:val="0"/>
          <w:numId w:val="1015"/>
        </w:numPr>
      </w:pPr>
      <w:r>
        <w:t xml:space="preserve">nationale Brandstatistiken und Feuerwehrberichte.</w:t>
      </w:r>
    </w:p>
    <w:p>
      <w:pPr>
        <w:pStyle w:val="Compact"/>
        <w:numPr>
          <w:ilvl w:val="0"/>
          <w:numId w:val="1015"/>
        </w:numPr>
      </w:pPr>
      <w:r>
        <w:t xml:space="preserve">FEMA Hazus Technical Manuals.</w:t>
      </w:r>
    </w:p>
    <w:p>
      <w:pPr>
        <w:pStyle w:val="Compact"/>
        <w:numPr>
          <w:ilvl w:val="0"/>
          <w:numId w:val="1015"/>
        </w:numPr>
      </w:pPr>
      <w:r>
        <w:t xml:space="preserve">USGS ShakeMap und National Seismic Hazard Models.</w:t>
      </w:r>
    </w:p>
    <w:p>
      <w:pPr>
        <w:pStyle w:val="Compact"/>
        <w:numPr>
          <w:ilvl w:val="0"/>
          <w:numId w:val="1015"/>
        </w:numPr>
      </w:pPr>
      <w:r>
        <w:t xml:space="preserve">Copernicus Emergency Management Service.</w:t>
      </w:r>
    </w:p>
    <w:p>
      <w:pPr>
        <w:pStyle w:val="Compact"/>
        <w:numPr>
          <w:ilvl w:val="0"/>
          <w:numId w:val="1015"/>
        </w:numPr>
      </w:pPr>
      <w:r>
        <w:t xml:space="preserve">EM-DAT für Katastrophenereignisse; Expositionsnenner separat ergänzen.</w:t>
      </w:r>
    </w:p>
    <w:p>
      <w:pPr>
        <w:pStyle w:val="Compact"/>
        <w:numPr>
          <w:ilvl w:val="0"/>
          <w:numId w:val="1015"/>
        </w:numPr>
      </w:pPr>
      <w:r>
        <w:t xml:space="preserve">European Flood Awareness System und nationale Gefahrenkarten.</w:t>
      </w:r>
    </w:p>
    <w:bookmarkEnd w:id="106"/>
    <w:bookmarkStart w:id="107" w:name="statistische-und-mathematische-quellen"/>
    <w:p>
      <w:pPr>
        <w:pStyle w:val="Heading2"/>
      </w:pPr>
      <w:r>
        <w:rPr>
          <w:rStyle w:val="SectionNumber"/>
        </w:rPr>
        <w:t xml:space="preserve">16.8</w:t>
      </w:r>
      <w:r>
        <w:tab/>
      </w:r>
      <w:r>
        <w:t xml:space="preserve">15.8 Statistische und mathematische Quellen</w:t>
      </w:r>
    </w:p>
    <w:p>
      <w:pPr>
        <w:pStyle w:val="Compact"/>
        <w:numPr>
          <w:ilvl w:val="0"/>
          <w:numId w:val="1016"/>
        </w:numPr>
      </w:pPr>
      <w:r>
        <w:t xml:space="preserve">Fachliteratur zu Survival Analysis, Competing Risks und Recurrent Events.</w:t>
      </w:r>
    </w:p>
    <w:p>
      <w:pPr>
        <w:pStyle w:val="Compact"/>
        <w:numPr>
          <w:ilvl w:val="0"/>
          <w:numId w:val="1016"/>
        </w:numPr>
      </w:pPr>
      <w:r>
        <w:t xml:space="preserve">GLM-, GAM-, Negative-Binomial-, zero-inflated und hurdle models.</w:t>
      </w:r>
    </w:p>
    <w:p>
      <w:pPr>
        <w:pStyle w:val="Compact"/>
        <w:numPr>
          <w:ilvl w:val="0"/>
          <w:numId w:val="1016"/>
        </w:numPr>
      </w:pPr>
      <w:r>
        <w:t xml:space="preserve">Bayes-hierarchische Modelle und Partial Pooling.</w:t>
      </w:r>
    </w:p>
    <w:p>
      <w:pPr>
        <w:pStyle w:val="Compact"/>
        <w:numPr>
          <w:ilvl w:val="0"/>
          <w:numId w:val="1016"/>
        </w:numPr>
      </w:pPr>
      <w:r>
        <w:t xml:space="preserve">Meta-Analyse seltener Ereignisse, einschließlich Beta-Binomial-Modellen.</w:t>
      </w:r>
    </w:p>
    <w:p>
      <w:pPr>
        <w:pStyle w:val="Compact"/>
        <w:numPr>
          <w:ilvl w:val="0"/>
          <w:numId w:val="1016"/>
        </w:numPr>
      </w:pPr>
      <w:r>
        <w:t xml:space="preserve">Measurement-Error-Modelle für unsichere Exposition.</w:t>
      </w:r>
    </w:p>
    <w:p>
      <w:pPr>
        <w:pStyle w:val="Compact"/>
        <w:numPr>
          <w:ilvl w:val="0"/>
          <w:numId w:val="1016"/>
        </w:numPr>
      </w:pPr>
      <w:r>
        <w:t xml:space="preserve">Causal Inference für Barrierenwirkungen.</w:t>
      </w:r>
    </w:p>
    <w:p>
      <w:pPr>
        <w:pStyle w:val="Compact"/>
        <w:numPr>
          <w:ilvl w:val="0"/>
          <w:numId w:val="1016"/>
        </w:numPr>
      </w:pPr>
      <w:r>
        <w:t xml:space="preserve">Global Sensitivity Analysis, Sobol-Indizes und probabilistische numerische Methoden.</w:t>
      </w:r>
    </w:p>
    <w:bookmarkEnd w:id="107"/>
    <w:bookmarkStart w:id="108" w:name="bewertungsmatrix-für-neue-quellen"/>
    <w:p>
      <w:pPr>
        <w:pStyle w:val="Heading2"/>
      </w:pPr>
      <w:r>
        <w:rPr>
          <w:rStyle w:val="SectionNumber"/>
        </w:rPr>
        <w:t xml:space="preserve">16.9</w:t>
      </w:r>
      <w:r>
        <w:tab/>
      </w:r>
      <w:r>
        <w:t xml:space="preserve">15.9 Bewertungsmatrix für neue Quellen</w:t>
      </w:r>
    </w:p>
    <w:p>
      <w:pPr>
        <w:pStyle w:val="FirstParagraph"/>
      </w:pPr>
      <w:r>
        <w:t xml:space="preserve">Jede gefundene Quelle erhält eine Matrixbewertung von 0 bis 2 je Kriterium:</w:t>
      </w:r>
    </w:p>
    <w:p>
      <w:pPr>
        <w:pStyle w:val="Compact"/>
        <w:numPr>
          <w:ilvl w:val="0"/>
          <w:numId w:val="1017"/>
        </w:numPr>
      </w:pPr>
      <w:r>
        <w:t xml:space="preserve">direkte Relevanz für Zielendpunkt;</w:t>
      </w:r>
    </w:p>
    <w:p>
      <w:pPr>
        <w:pStyle w:val="Compact"/>
        <w:numPr>
          <w:ilvl w:val="0"/>
          <w:numId w:val="1017"/>
        </w:numPr>
      </w:pPr>
      <w:r>
        <w:t xml:space="preserve">Klarheit der Exposition;</w:t>
      </w:r>
    </w:p>
    <w:p>
      <w:pPr>
        <w:pStyle w:val="Compact"/>
        <w:numPr>
          <w:ilvl w:val="0"/>
          <w:numId w:val="1017"/>
        </w:numPr>
      </w:pPr>
      <w:r>
        <w:t xml:space="preserve">Populationskompatibilität;</w:t>
      </w:r>
    </w:p>
    <w:p>
      <w:pPr>
        <w:pStyle w:val="Compact"/>
        <w:numPr>
          <w:ilvl w:val="0"/>
          <w:numId w:val="1017"/>
        </w:numPr>
      </w:pPr>
      <w:r>
        <w:t xml:space="preserve">zeitliche Aktualität;</w:t>
      </w:r>
    </w:p>
    <w:p>
      <w:pPr>
        <w:pStyle w:val="Compact"/>
        <w:numPr>
          <w:ilvl w:val="0"/>
          <w:numId w:val="1017"/>
        </w:numPr>
      </w:pPr>
      <w:r>
        <w:t xml:space="preserve">Unsicherheitsinformation;</w:t>
      </w:r>
    </w:p>
    <w:p>
      <w:pPr>
        <w:pStyle w:val="Compact"/>
        <w:numPr>
          <w:ilvl w:val="0"/>
          <w:numId w:val="1017"/>
        </w:numPr>
      </w:pPr>
      <w:r>
        <w:t xml:space="preserve">Reproduzierbarkeit;</w:t>
      </w:r>
    </w:p>
    <w:p>
      <w:pPr>
        <w:pStyle w:val="Compact"/>
        <w:numPr>
          <w:ilvl w:val="0"/>
          <w:numId w:val="1017"/>
        </w:numPr>
      </w:pPr>
      <w:r>
        <w:t xml:space="preserve">Zugänglichkeit und Lizenz;</w:t>
      </w:r>
    </w:p>
    <w:p>
      <w:pPr>
        <w:pStyle w:val="Compact"/>
        <w:numPr>
          <w:ilvl w:val="0"/>
          <w:numId w:val="1017"/>
        </w:numPr>
      </w:pPr>
      <w:r>
        <w:t xml:space="preserve">Risiko von Selektions- oder Meldebias.</w:t>
      </w:r>
    </w:p>
    <w:p>
      <w:pPr>
        <w:pStyle w:val="FirstParagraph"/>
      </w:pPr>
      <w:r>
        <w:t xml:space="preserve">Der Score ist kein Ersatz für fachliche Prüfung. Ein hoher Gesamtscore kann einen kritischen Definitionsfehler nicht kompensieren.</w:t>
      </w:r>
    </w:p>
    <w:bookmarkEnd w:id="108"/>
    <w:bookmarkEnd w:id="109"/>
    <w:bookmarkStart w:id="110" w:name="Xf6cbcf4c8cb6391b7638399b223675df9d7bb03"/>
    <w:p>
      <w:pPr>
        <w:pStyle w:val="Heading1"/>
      </w:pPr>
      <w:r>
        <w:rPr>
          <w:rStyle w:val="SectionNumber"/>
        </w:rPr>
        <w:t xml:space="preserve">17</w:t>
      </w:r>
      <w:r>
        <w:tab/>
      </w:r>
      <w:r>
        <w:t xml:space="preserve">16. Governance, Ethik und verantwortliche Anwendung</w:t>
      </w:r>
    </w:p>
    <w:p>
      <w:pPr>
        <w:pStyle w:val="FirstParagraph"/>
      </w:pPr>
      <w:r>
        <w:t xml:space="preserve">RiskAI ist ein Forschungs- und Entscheidungsunterstützungssystem. Eine spätere Versicherungsanwendung darf nicht automatisch darüber entscheiden, ob eine Person versicherungsfähig ist. Zulässige Anwendungen sind Szenarioanalyse, Portfolioverständnis, Präventionsberatung und transparente Risikoquantifizierung. Erforderlich sind menschliche Aufsicht, Erklärbarkeit, Datenschutz, Fairness, Einspruchsmöglichkeiten und dokumentierte Modellgrenzen.</w:t>
      </w:r>
    </w:p>
    <w:p>
      <w:pPr>
        <w:pStyle w:val="BodyText"/>
      </w:pPr>
      <w:r>
        <w:t xml:space="preserve">Geschützte Merkmale oder sozial sensible Proxys dürfen nicht unkontrolliert verwendet werden. Ein statistischer Zusammenhang ist nicht automatisch kausal oder normativ legitim. Fairness-Audits prüfen direkte und indirekte Unterschiede, Performance und Kalibrierung in relevanten Gruppen, ohne individuelle Identitäten unnötig offenzulegen.</w:t>
      </w:r>
    </w:p>
    <w:bookmarkEnd w:id="110"/>
    <w:bookmarkStart w:id="114" w:name="entwicklungsroadmap"/>
    <w:p>
      <w:pPr>
        <w:pStyle w:val="Heading1"/>
      </w:pPr>
      <w:r>
        <w:rPr>
          <w:rStyle w:val="SectionNumber"/>
        </w:rPr>
        <w:t xml:space="preserve">18</w:t>
      </w:r>
      <w:r>
        <w:tab/>
      </w:r>
      <w:r>
        <w:t xml:space="preserve">17. Entwicklungsroadmap</w:t>
      </w:r>
    </w:p>
    <w:bookmarkStart w:id="111" w:name="kurzfristig"/>
    <w:p>
      <w:pPr>
        <w:pStyle w:val="Heading2"/>
      </w:pPr>
      <w:r>
        <w:rPr>
          <w:rStyle w:val="SectionNumber"/>
        </w:rPr>
        <w:t xml:space="preserve">18.1</w:t>
      </w:r>
      <w:r>
        <w:tab/>
      </w:r>
      <w:r>
        <w:t xml:space="preserve">17.1 Kurzfristig</w:t>
      </w:r>
    </w:p>
    <w:p>
      <w:pPr>
        <w:pStyle w:val="Compact"/>
        <w:numPr>
          <w:ilvl w:val="0"/>
          <w:numId w:val="1018"/>
        </w:numPr>
      </w:pPr>
      <w:r>
        <w:t xml:space="preserve">vollständige Referenzversion und Regressionstests sichern;</w:t>
      </w:r>
    </w:p>
    <w:p>
      <w:pPr>
        <w:pStyle w:val="Compact"/>
        <w:numPr>
          <w:ilvl w:val="0"/>
          <w:numId w:val="1018"/>
        </w:numPr>
      </w:pPr>
      <w:r>
        <w:t xml:space="preserve">Parameter- und Quellenregister etablieren;</w:t>
      </w:r>
    </w:p>
    <w:p>
      <w:pPr>
        <w:pStyle w:val="Compact"/>
        <w:numPr>
          <w:ilvl w:val="0"/>
          <w:numId w:val="1018"/>
        </w:numPr>
      </w:pPr>
      <w:r>
        <w:t xml:space="preserve">Pkw-Ereigniskette mit kompatiblen amtlichen Daten kalibrieren;</w:t>
      </w:r>
    </w:p>
    <w:p>
      <w:pPr>
        <w:pStyle w:val="Compact"/>
        <w:numPr>
          <w:ilvl w:val="0"/>
          <w:numId w:val="1018"/>
        </w:numPr>
      </w:pPr>
      <w:r>
        <w:t xml:space="preserve">konkurrierende Endpunkte kohärent modellieren;</w:t>
      </w:r>
    </w:p>
    <w:p>
      <w:pPr>
        <w:pStyle w:val="Compact"/>
        <w:numPr>
          <w:ilvl w:val="0"/>
          <w:numId w:val="1018"/>
        </w:numPr>
      </w:pPr>
      <w:r>
        <w:t xml:space="preserve">bestehende Schutzfaktoren in Parameterverträge überführen.</w:t>
      </w:r>
    </w:p>
    <w:bookmarkEnd w:id="111"/>
    <w:bookmarkStart w:id="112" w:name="mittelfristig"/>
    <w:p>
      <w:pPr>
        <w:pStyle w:val="Heading2"/>
      </w:pPr>
      <w:r>
        <w:rPr>
          <w:rStyle w:val="SectionNumber"/>
        </w:rPr>
        <w:t xml:space="preserve">18.2</w:t>
      </w:r>
      <w:r>
        <w:tab/>
      </w:r>
      <w:r>
        <w:t xml:space="preserve">17.2 Mittelfristig</w:t>
      </w:r>
    </w:p>
    <w:p>
      <w:pPr>
        <w:pStyle w:val="Compact"/>
        <w:numPr>
          <w:ilvl w:val="0"/>
          <w:numId w:val="1019"/>
        </w:numPr>
      </w:pPr>
      <w:r>
        <w:t xml:space="preserve">Monte-Carlo-Engine mit Korrelationen und Sensitivität;</w:t>
      </w:r>
    </w:p>
    <w:p>
      <w:pPr>
        <w:pStyle w:val="Compact"/>
        <w:numPr>
          <w:ilvl w:val="0"/>
          <w:numId w:val="1019"/>
        </w:numPr>
      </w:pPr>
      <w:r>
        <w:t xml:space="preserve">zeitliche und externe Validierung;</w:t>
      </w:r>
    </w:p>
    <w:p>
      <w:pPr>
        <w:pStyle w:val="Compact"/>
        <w:numPr>
          <w:ilvl w:val="0"/>
          <w:numId w:val="1019"/>
        </w:numPr>
      </w:pPr>
      <w:r>
        <w:t xml:space="preserve">weitere Mobilitätsadapter;</w:t>
      </w:r>
    </w:p>
    <w:p>
      <w:pPr>
        <w:pStyle w:val="Compact"/>
        <w:numPr>
          <w:ilvl w:val="0"/>
          <w:numId w:val="1019"/>
        </w:numPr>
      </w:pPr>
      <w:r>
        <w:t xml:space="preserve">erster Sport- und Arbeitsunfalladapter;</w:t>
      </w:r>
    </w:p>
    <w:p>
      <w:pPr>
        <w:pStyle w:val="Compact"/>
        <w:numPr>
          <w:ilvl w:val="0"/>
          <w:numId w:val="1019"/>
        </w:numPr>
      </w:pPr>
      <w:r>
        <w:t xml:space="preserve">automatisierter Evidence-Gate-Workflow.</w:t>
      </w:r>
    </w:p>
    <w:bookmarkEnd w:id="112"/>
    <w:bookmarkStart w:id="113" w:name="langfristig"/>
    <w:p>
      <w:pPr>
        <w:pStyle w:val="Heading2"/>
      </w:pPr>
      <w:r>
        <w:rPr>
          <w:rStyle w:val="SectionNumber"/>
        </w:rPr>
        <w:t xml:space="preserve">18.3</w:t>
      </w:r>
      <w:r>
        <w:tab/>
      </w:r>
      <w:r>
        <w:t xml:space="preserve">17.3 Langfristig</w:t>
      </w:r>
    </w:p>
    <w:p>
      <w:pPr>
        <w:pStyle w:val="Compact"/>
        <w:numPr>
          <w:ilvl w:val="0"/>
          <w:numId w:val="1020"/>
        </w:numPr>
      </w:pPr>
      <w:r>
        <w:t xml:space="preserve">georäumliche Adapter für Konflikt, Brand und Naturgefahren;</w:t>
      </w:r>
    </w:p>
    <w:p>
      <w:pPr>
        <w:pStyle w:val="Compact"/>
        <w:numPr>
          <w:ilvl w:val="0"/>
          <w:numId w:val="1020"/>
        </w:numPr>
      </w:pPr>
      <w:r>
        <w:t xml:space="preserve">kontrollierte mechanistische Submodelle;</w:t>
      </w:r>
    </w:p>
    <w:p>
      <w:pPr>
        <w:pStyle w:val="Compact"/>
        <w:numPr>
          <w:ilvl w:val="0"/>
          <w:numId w:val="1020"/>
        </w:numPr>
      </w:pPr>
      <w:r>
        <w:t xml:space="preserve">versicherungsnahe Frequenz- und Schadenhöhenmodelle;</w:t>
      </w:r>
    </w:p>
    <w:p>
      <w:pPr>
        <w:pStyle w:val="Compact"/>
        <w:numPr>
          <w:ilvl w:val="0"/>
          <w:numId w:val="1020"/>
        </w:numPr>
      </w:pPr>
      <w:r>
        <w:t xml:space="preserve">kontinuierliches Monitoring, Re-Kalibrierung und Modellgovernance.</w:t>
      </w:r>
    </w:p>
    <w:bookmarkEnd w:id="113"/>
    <w:bookmarkEnd w:id="114"/>
    <w:bookmarkStart w:id="115" w:name="diskussion"/>
    <w:p>
      <w:pPr>
        <w:pStyle w:val="Heading1"/>
      </w:pPr>
      <w:r>
        <w:rPr>
          <w:rStyle w:val="SectionNumber"/>
        </w:rPr>
        <w:t xml:space="preserve">19</w:t>
      </w:r>
      <w:r>
        <w:tab/>
      </w:r>
      <w:r>
        <w:t xml:space="preserve">18. Diskussion</w:t>
      </w:r>
    </w:p>
    <w:p>
      <w:pPr>
        <w:pStyle w:val="FirstParagraph"/>
      </w:pPr>
      <w:r>
        <w:t xml:space="preserve">P-QRA verbindet Methoden aus Überlebensanalyse, Prozesssicherheit, Verkehrsforschung und Aktuariat. Der Ansatz ist modular, aber nicht beliebig. Die gemeinsame Engine darf domänenspezifische Definitionen nicht durch eine universelle Zahl ersetzen. Vergleichbarkeit entsteht erst auf Ebene klar definierter Endpunkte und Zeitfenster.</w:t>
      </w:r>
    </w:p>
    <w:p>
      <w:pPr>
        <w:pStyle w:val="BodyText"/>
      </w:pPr>
      <w:r>
        <w:t xml:space="preserve">Die größte methodische Gefahr ist falsche Präzision. Monte Carlo kann Unsicherheit nur propagieren, nicht fehlende Evidenz ersetzen. Hierarchische Modelle können kleine Gruppen stabilisieren, aber unpassende Populationen nicht automatisch übertragbar machen. Mechanistische Modelle können Kausalstrukturen verbessern, benötigen jedoch validierte Parameter und eine empirische Verbindung zum individuellen Endpunkt.</w:t>
      </w:r>
    </w:p>
    <w:p>
      <w:pPr>
        <w:pStyle w:val="BodyText"/>
      </w:pPr>
      <w:r>
        <w:t xml:space="preserve">Die zentrale Designentscheidung bleibt daher: Unsichere oder unzureichende Parameter werden nicht versteckt, sondern ausgeschlossen oder deutlich als Forschungsmodell getrennt. Die Engine soll lieber eine Datenlücke ausweisen als eine plausible, aber unbelegte Zahl produzieren.</w:t>
      </w:r>
    </w:p>
    <w:bookmarkEnd w:id="115"/>
    <w:bookmarkStart w:id="116" w:name="schlussfolgerung"/>
    <w:p>
      <w:pPr>
        <w:pStyle w:val="Heading1"/>
      </w:pPr>
      <w:r>
        <w:rPr>
          <w:rStyle w:val="SectionNumber"/>
        </w:rPr>
        <w:t xml:space="preserve">20</w:t>
      </w:r>
      <w:r>
        <w:tab/>
      </w:r>
      <w:r>
        <w:t xml:space="preserve">19. Schlussfolgerung</w:t>
      </w:r>
    </w:p>
    <w:p>
      <w:pPr>
        <w:pStyle w:val="FirstParagraph"/>
      </w:pPr>
      <w:r>
        <w:t xml:space="preserve">Das aktualisierte P-QRA stellt eine generalisierte probabilistische Architektur für individuelle Alltagsrisiken bereit. Das ursprüngliche Tages-Hazard-Modell bleibt der Rahmen. Domain Model Adapters liefern empirisch geschätzte Ereignis- und Endpunktmodelle. Aktuarielle Verfahren strukturieren Frequenz, Schwere und Credibility. Monte-Carlo-Simulationen propagieren epistemische Unsicherheit. Das Evidence Gate verhindert die numerische Verwendung nicht ausreichend belegter Faktoren.</w:t>
      </w:r>
    </w:p>
    <w:p>
      <w:pPr>
        <w:pStyle w:val="BodyText"/>
      </w:pPr>
      <w:r>
        <w:t xml:space="preserve">Der wissenschaftliche Anspruch besteht nicht darin, für jede denkbare Gefahr sofort eine Zahl auszugeben. Jede ausgegebene Zahl soll auf eine definierte Population, Exposition, Ereigniskette, Datenquelle, Unsicherheitsverteilung und Modellversion zurückgeführt werden können. Damit kann RiskAI langfristig heterogene Risiken vergleichbar machen, ohne fachliche Unterschiede zu ignorieren oder nicht vorhandene Genauigkeit vorzutäuschen.</w:t>
      </w:r>
    </w:p>
    <w:bookmarkEnd w:id="116"/>
    <w:bookmarkStart w:id="117" w:name="literaturverzeichnis-und-quellenkatalog"/>
    <w:p>
      <w:pPr>
        <w:pStyle w:val="Heading1"/>
      </w:pPr>
      <w:r>
        <w:rPr>
          <w:rStyle w:val="SectionNumber"/>
        </w:rPr>
        <w:t xml:space="preserve">21</w:t>
      </w:r>
      <w:r>
        <w:tab/>
      </w:r>
      <w:r>
        <w:t xml:space="preserve">Literaturverzeichnis und Quellenkatalog</w:t>
      </w:r>
    </w:p>
    <w:p>
      <w:pPr>
        <w:pStyle w:val="Compact"/>
        <w:numPr>
          <w:ilvl w:val="0"/>
          <w:numId w:val="1021"/>
        </w:numPr>
      </w:pPr>
      <w:r>
        <w:t xml:space="preserve">US Environmental Protection Agency.</w:t>
      </w:r>
      <w:r>
        <w:t xml:space="preserve"> </w:t>
      </w:r>
      <w:r>
        <w:rPr>
          <w:i/>
          <w:iCs/>
        </w:rPr>
        <w:t xml:space="preserve">Probabilistic Risk Assessment White Paper and Supporting Documents</w:t>
      </w:r>
      <w:r>
        <w:t xml:space="preserve">. https://www.epa.gov/scientific-leadership/probabilistic-risk-assessment-white-paper-and-supporting-documents</w:t>
      </w:r>
    </w:p>
    <w:p>
      <w:pPr>
        <w:pStyle w:val="Compact"/>
        <w:numPr>
          <w:ilvl w:val="0"/>
          <w:numId w:val="1021"/>
        </w:numPr>
      </w:pPr>
      <w:r>
        <w:t xml:space="preserve">US Environmental Protection Agency.</w:t>
      </w:r>
      <w:r>
        <w:t xml:space="preserve"> </w:t>
      </w:r>
      <w:r>
        <w:rPr>
          <w:i/>
          <w:iCs/>
        </w:rPr>
        <w:t xml:space="preserve">Guiding Principles for Monte Carlo Analysis</w:t>
      </w:r>
      <w:r>
        <w:t xml:space="preserve">. https://www.epa.gov/risk/guiding-principles-monte-carlo-analysis</w:t>
      </w:r>
    </w:p>
    <w:p>
      <w:pPr>
        <w:pStyle w:val="Compact"/>
        <w:numPr>
          <w:ilvl w:val="0"/>
          <w:numId w:val="1021"/>
        </w:numPr>
      </w:pPr>
      <w:r>
        <w:t xml:space="preserve">US Nuclear Regulatory Commission.</w:t>
      </w:r>
      <w:r>
        <w:t xml:space="preserve"> </w:t>
      </w:r>
      <w:r>
        <w:rPr>
          <w:i/>
          <w:iCs/>
        </w:rPr>
        <w:t xml:space="preserve">Probabilistic Risk Assessment</w:t>
      </w:r>
      <w:r>
        <w:t xml:space="preserve">. https://www.nrc.gov/about-nrc/regulatory/risk-informed/pra</w:t>
      </w:r>
    </w:p>
    <w:p>
      <w:pPr>
        <w:pStyle w:val="Compact"/>
        <w:numPr>
          <w:ilvl w:val="0"/>
          <w:numId w:val="1021"/>
        </w:numPr>
      </w:pPr>
      <w:r>
        <w:t xml:space="preserve">ISO.</w:t>
      </w:r>
      <w:r>
        <w:t xml:space="preserve"> </w:t>
      </w:r>
      <w:r>
        <w:rPr>
          <w:i/>
          <w:iCs/>
        </w:rPr>
        <w:t xml:space="preserve">ISO 31000:2018 Risk management — Guidelines</w:t>
      </w:r>
      <w:r>
        <w:t xml:space="preserve">. https://www.iso.org/standard/65694.html</w:t>
      </w:r>
    </w:p>
    <w:p>
      <w:pPr>
        <w:pStyle w:val="Compact"/>
        <w:numPr>
          <w:ilvl w:val="0"/>
          <w:numId w:val="1021"/>
        </w:numPr>
      </w:pPr>
      <w:r>
        <w:t xml:space="preserve">Federal Highway Administration.</w:t>
      </w:r>
      <w:r>
        <w:t xml:space="preserve"> </w:t>
      </w:r>
      <w:r>
        <w:rPr>
          <w:i/>
          <w:iCs/>
        </w:rPr>
        <w:t xml:space="preserve">Highway Safety Manual</w:t>
      </w:r>
      <w:r>
        <w:t xml:space="preserve">. https://highways.dot.gov/safety/data-analysis-tools/highway-safety-manual</w:t>
      </w:r>
    </w:p>
    <w:p>
      <w:pPr>
        <w:pStyle w:val="Compact"/>
        <w:numPr>
          <w:ilvl w:val="0"/>
          <w:numId w:val="1021"/>
        </w:numPr>
      </w:pPr>
      <w:r>
        <w:t xml:space="preserve">World Health Organization.</w:t>
      </w:r>
      <w:r>
        <w:t xml:space="preserve"> </w:t>
      </w:r>
      <w:r>
        <w:rPr>
          <w:i/>
          <w:iCs/>
        </w:rPr>
        <w:t xml:space="preserve">Data systems: a road safety manual for decision-makers and practitioners</w:t>
      </w:r>
      <w:r>
        <w:t xml:space="preserve">. https://www.who.int/publications/i/item/9789241598965</w:t>
      </w:r>
    </w:p>
    <w:p>
      <w:pPr>
        <w:pStyle w:val="Compact"/>
        <w:numPr>
          <w:ilvl w:val="0"/>
          <w:numId w:val="1021"/>
        </w:numPr>
      </w:pPr>
      <w:r>
        <w:t xml:space="preserve">World Health Organization.</w:t>
      </w:r>
      <w:r>
        <w:t xml:space="preserve"> </w:t>
      </w:r>
      <w:r>
        <w:rPr>
          <w:i/>
          <w:iCs/>
        </w:rPr>
        <w:t xml:space="preserve">Global status report on road safety 2023</w:t>
      </w:r>
      <w:r>
        <w:t xml:space="preserve">. https://iris.who.int/server/api/core/bitstreams/46275f9f-ef66-4892-8ddd-a496ef8c1b74/content</w:t>
      </w:r>
    </w:p>
    <w:p>
      <w:pPr>
        <w:pStyle w:val="Compact"/>
        <w:numPr>
          <w:ilvl w:val="0"/>
          <w:numId w:val="1021"/>
        </w:numPr>
      </w:pPr>
      <w:r>
        <w:t xml:space="preserve">Statistisches Bundesamt.</w:t>
      </w:r>
      <w:r>
        <w:t xml:space="preserve"> </w:t>
      </w:r>
      <w:r>
        <w:rPr>
          <w:i/>
          <w:iCs/>
        </w:rPr>
        <w:t xml:space="preserve">Statistik der Straßenverkehrsunfälle, GENESIS 46241</w:t>
      </w:r>
      <w:r>
        <w:t xml:space="preserve">. https://genesis.destatis.de/datenbank/online/statistic/46241/details</w:t>
      </w:r>
    </w:p>
    <w:p>
      <w:pPr>
        <w:pStyle w:val="Compact"/>
        <w:numPr>
          <w:ilvl w:val="0"/>
          <w:numId w:val="1021"/>
        </w:numPr>
      </w:pPr>
      <w:r>
        <w:t xml:space="preserve">Bundesanstalt für Straßen- und Verkehrswesen.</w:t>
      </w:r>
      <w:r>
        <w:t xml:space="preserve"> </w:t>
      </w:r>
      <w:r>
        <w:rPr>
          <w:i/>
          <w:iCs/>
        </w:rPr>
        <w:t xml:space="preserve">Unfallgeschehen auf Landstraßen 2024, Bericht M 364</w:t>
      </w:r>
      <w:r>
        <w:t xml:space="preserve">. https://www.bast.de/DE/Publikationen/BerichteBASt/Berichte/unterreihe-m/2026-2025/m364.html</w:t>
      </w:r>
    </w:p>
    <w:p>
      <w:pPr>
        <w:pStyle w:val="Compact"/>
        <w:numPr>
          <w:ilvl w:val="0"/>
          <w:numId w:val="1021"/>
        </w:numPr>
      </w:pPr>
      <w:r>
        <w:t xml:space="preserve">National Highway Traffic Safety Administration.</w:t>
      </w:r>
      <w:r>
        <w:t xml:space="preserve"> </w:t>
      </w:r>
      <w:r>
        <w:rPr>
          <w:i/>
          <w:iCs/>
        </w:rPr>
        <w:t xml:space="preserve">Seat Belts and Child Restraints</w:t>
      </w:r>
      <w:r>
        <w:t xml:space="preserve">. https://www.nhtsa.gov/book/countermeasures-that-work/seat-belts-and-child-restraints</w:t>
      </w:r>
    </w:p>
    <w:p>
      <w:pPr>
        <w:pStyle w:val="Compact"/>
        <w:numPr>
          <w:ilvl w:val="0"/>
          <w:numId w:val="1021"/>
        </w:numPr>
      </w:pPr>
      <w:r>
        <w:t xml:space="preserve">Zhang F et al. </w:t>
      </w:r>
      <w:r>
        <w:rPr>
          <w:i/>
          <w:iCs/>
        </w:rPr>
        <w:t xml:space="preserve">Vehicle Age and Driver Assistance Technologies in Fatal Crashes</w:t>
      </w:r>
      <w:r>
        <w:t xml:space="preserve">. JAMA Network Open. https://jamanetwork.com/journals/jamanetworkopen/fullarticle/2833617</w:t>
      </w:r>
    </w:p>
    <w:p>
      <w:pPr>
        <w:pStyle w:val="Compact"/>
        <w:numPr>
          <w:ilvl w:val="0"/>
          <w:numId w:val="1021"/>
        </w:numPr>
      </w:pPr>
      <w:r>
        <w:t xml:space="preserve">Casualty Actuarial Society.</w:t>
      </w:r>
      <w:r>
        <w:t xml:space="preserve"> </w:t>
      </w:r>
      <w:r>
        <w:rPr>
          <w:i/>
          <w:iCs/>
        </w:rPr>
        <w:t xml:space="preserve">Generalized Linear Models for Insurance Rating</w:t>
      </w:r>
      <w:r>
        <w:t xml:space="preserve">. https://www.casact.org/monograph/cas-monograph-no-5</w:t>
      </w:r>
    </w:p>
    <w:p>
      <w:pPr>
        <w:pStyle w:val="Compact"/>
        <w:numPr>
          <w:ilvl w:val="0"/>
          <w:numId w:val="1021"/>
        </w:numPr>
      </w:pPr>
      <w:r>
        <w:t xml:space="preserve">Loss Data Analytics.</w:t>
      </w:r>
      <w:r>
        <w:t xml:space="preserve"> </w:t>
      </w:r>
      <w:r>
        <w:rPr>
          <w:i/>
          <w:iCs/>
        </w:rPr>
        <w:t xml:space="preserve">Frequency Modeling</w:t>
      </w:r>
      <w:r>
        <w:t xml:space="preserve">. https://openacttexts.github.io/Loss-Data-Analytics/ChapFrequency-Modeling.html</w:t>
      </w:r>
    </w:p>
    <w:p>
      <w:pPr>
        <w:pStyle w:val="Compact"/>
        <w:numPr>
          <w:ilvl w:val="0"/>
          <w:numId w:val="1021"/>
        </w:numPr>
      </w:pPr>
      <w:r>
        <w:t xml:space="preserve">Loss Data Analytics.</w:t>
      </w:r>
      <w:r>
        <w:t xml:space="preserve"> </w:t>
      </w:r>
      <w:r>
        <w:rPr>
          <w:i/>
          <w:iCs/>
        </w:rPr>
        <w:t xml:space="preserve">Experience Rating Using Credibility Theory</w:t>
      </w:r>
      <w:r>
        <w:t xml:space="preserve">. https://openacttexts.github.io/Loss-Data-Analytics/ChapCredibility.html</w:t>
      </w:r>
    </w:p>
    <w:p>
      <w:pPr>
        <w:pStyle w:val="Compact"/>
        <w:numPr>
          <w:ilvl w:val="0"/>
          <w:numId w:val="1021"/>
        </w:numPr>
      </w:pPr>
      <w:r>
        <w:t xml:space="preserve">Holmes T, Casotto M.</w:t>
      </w:r>
      <w:r>
        <w:t xml:space="preserve"> </w:t>
      </w:r>
      <w:r>
        <w:rPr>
          <w:i/>
          <w:iCs/>
        </w:rPr>
        <w:t xml:space="preserve">Penalized Regression and Lasso Credibility</w:t>
      </w:r>
      <w:r>
        <w:t xml:space="preserve">. Casualty Actuarial Society. https://www.casact.org/publications-research/publications/flagship-publications/cas-monographs/monograph-no-13</w:t>
      </w:r>
    </w:p>
    <w:p>
      <w:pPr>
        <w:pStyle w:val="Compact"/>
        <w:numPr>
          <w:ilvl w:val="0"/>
          <w:numId w:val="1021"/>
        </w:numPr>
      </w:pPr>
      <w:r>
        <w:t xml:space="preserve">Bahr R et al. </w:t>
      </w:r>
      <w:r>
        <w:rPr>
          <w:i/>
          <w:iCs/>
        </w:rPr>
        <w:t xml:space="preserve">IOC consensus statement: methods for recording and reporting epidemiological data on injury and illness in sport 2020</w:t>
      </w:r>
      <w:r>
        <w:t xml:space="preserve">. https://pmc.ncbi.nlm.nih.gov/articles/PMC7029549/</w:t>
      </w:r>
    </w:p>
    <w:p>
      <w:pPr>
        <w:pStyle w:val="Compact"/>
        <w:numPr>
          <w:ilvl w:val="0"/>
          <w:numId w:val="1021"/>
        </w:numPr>
      </w:pPr>
      <w:r>
        <w:t xml:space="preserve">Eurostat.</w:t>
      </w:r>
      <w:r>
        <w:t xml:space="preserve"> </w:t>
      </w:r>
      <w:r>
        <w:rPr>
          <w:i/>
          <w:iCs/>
        </w:rPr>
        <w:t xml:space="preserve">European Statistics on Accidents at Work: Summary methodology</w:t>
      </w:r>
      <w:r>
        <w:t xml:space="preserve">. https://ec.europa.eu/eurostat/web/products-manuals-and-guidelines/-/KS-RA-12-102</w:t>
      </w:r>
    </w:p>
    <w:p>
      <w:pPr>
        <w:pStyle w:val="Compact"/>
        <w:numPr>
          <w:ilvl w:val="0"/>
          <w:numId w:val="1021"/>
        </w:numPr>
      </w:pPr>
      <w:r>
        <w:t xml:space="preserve">Uppsala Conflict Data Program.</w:t>
      </w:r>
      <w:r>
        <w:t xml:space="preserve"> </w:t>
      </w:r>
      <w:r>
        <w:rPr>
          <w:i/>
          <w:iCs/>
        </w:rPr>
        <w:t xml:space="preserve">UCDP Dataset Download Center</w:t>
      </w:r>
      <w:r>
        <w:t xml:space="preserve">. https://ucdp.uu.se/downloads/</w:t>
      </w:r>
    </w:p>
    <w:p>
      <w:pPr>
        <w:pStyle w:val="Compact"/>
        <w:numPr>
          <w:ilvl w:val="0"/>
          <w:numId w:val="1021"/>
        </w:numPr>
      </w:pPr>
      <w:r>
        <w:t xml:space="preserve">Uppsala University.</w:t>
      </w:r>
      <w:r>
        <w:t xml:space="preserve"> </w:t>
      </w:r>
      <w:r>
        <w:rPr>
          <w:i/>
          <w:iCs/>
        </w:rPr>
        <w:t xml:space="preserve">UCDP Methodology</w:t>
      </w:r>
      <w:r>
        <w:t xml:space="preserve">. https://www.uu.se/en/department/peace-and-conflict-research/research/ucdp/ucdp-methodology</w:t>
      </w:r>
    </w:p>
    <w:p>
      <w:pPr>
        <w:pStyle w:val="Compact"/>
        <w:numPr>
          <w:ilvl w:val="0"/>
          <w:numId w:val="1021"/>
        </w:numPr>
      </w:pPr>
      <w:r>
        <w:t xml:space="preserve">ACLED.</w:t>
      </w:r>
      <w:r>
        <w:t xml:space="preserve"> </w:t>
      </w:r>
      <w:r>
        <w:rPr>
          <w:i/>
          <w:iCs/>
        </w:rPr>
        <w:t xml:space="preserve">Conflict Exposure Methodology</w:t>
      </w:r>
      <w:r>
        <w:t xml:space="preserve">. https://acleddata.com/methodology/conflict-exposure-methodology</w:t>
      </w:r>
    </w:p>
    <w:p>
      <w:pPr>
        <w:pStyle w:val="Compact"/>
        <w:numPr>
          <w:ilvl w:val="0"/>
          <w:numId w:val="1021"/>
        </w:numPr>
      </w:pPr>
      <w:r>
        <w:t xml:space="preserve">ACLED.</w:t>
      </w:r>
      <w:r>
        <w:t xml:space="preserve"> </w:t>
      </w:r>
      <w:r>
        <w:rPr>
          <w:i/>
          <w:iCs/>
        </w:rPr>
        <w:t xml:space="preserve">Methodology</w:t>
      </w:r>
      <w:r>
        <w:t xml:space="preserve">. https://acleddata.com/conflict-data/knowledge-base/methodology</w:t>
      </w:r>
    </w:p>
    <w:p>
      <w:pPr>
        <w:pStyle w:val="Compact"/>
        <w:numPr>
          <w:ilvl w:val="0"/>
          <w:numId w:val="1021"/>
        </w:numPr>
      </w:pPr>
      <w:r>
        <w:t xml:space="preserve">FEMA.</w:t>
      </w:r>
      <w:r>
        <w:t xml:space="preserve"> </w:t>
      </w:r>
      <w:r>
        <w:rPr>
          <w:i/>
          <w:iCs/>
        </w:rPr>
        <w:t xml:space="preserve">Hazus</w:t>
      </w:r>
      <w:r>
        <w:t xml:space="preserve">. https://www.fema.gov/flood-maps/products-tools/hazus</w:t>
      </w:r>
    </w:p>
    <w:p>
      <w:pPr>
        <w:pStyle w:val="Compact"/>
        <w:numPr>
          <w:ilvl w:val="0"/>
          <w:numId w:val="1021"/>
        </w:numPr>
      </w:pPr>
      <w:r>
        <w:t xml:space="preserve">US Fire Administration.</w:t>
      </w:r>
      <w:r>
        <w:t xml:space="preserve"> </w:t>
      </w:r>
      <w:r>
        <w:rPr>
          <w:i/>
          <w:iCs/>
        </w:rPr>
        <w:t xml:space="preserve">Data Sources and National Estimates Methodology Overview</w:t>
      </w:r>
      <w:r>
        <w:t xml:space="preserve">. https://www.usfa.fema.gov/downloads/pdf/statistics/data-sources-and-national-estimates-methodology-vol22.pdf</w:t>
      </w:r>
    </w:p>
    <w:p>
      <w:pPr>
        <w:pStyle w:val="Compact"/>
        <w:numPr>
          <w:ilvl w:val="0"/>
          <w:numId w:val="1021"/>
        </w:numPr>
      </w:pPr>
      <w:r>
        <w:t xml:space="preserve">National Fire Protection Association.</w:t>
      </w:r>
      <w:r>
        <w:t xml:space="preserve"> </w:t>
      </w:r>
      <w:r>
        <w:rPr>
          <w:i/>
          <w:iCs/>
        </w:rPr>
        <w:t xml:space="preserve">U.S. Experience with Sprinklers</w:t>
      </w:r>
      <w:r>
        <w:t xml:space="preserve">. https://www.nfpa.org/education-and-research/research/nfpa-research/fire-statistical-reports/us-experience-with-sprinklers</w:t>
      </w:r>
    </w:p>
    <w:p>
      <w:pPr>
        <w:pStyle w:val="Compact"/>
        <w:numPr>
          <w:ilvl w:val="0"/>
          <w:numId w:val="1021"/>
        </w:numPr>
      </w:pPr>
      <w:r>
        <w:t xml:space="preserve">Jansen K, Holling H.</w:t>
      </w:r>
      <w:r>
        <w:t xml:space="preserve"> </w:t>
      </w:r>
      <w:r>
        <w:rPr>
          <w:i/>
          <w:iCs/>
        </w:rPr>
        <w:t xml:space="preserve">Rare events meta-analysis using the Bayesian beta-binomial model</w:t>
      </w:r>
      <w:r>
        <w:t xml:space="preserve">. Research Synthesis Methods. https://onlinelibrary.wiley.com/doi/pdfdirect/10.1002/jrsm.1662</w:t>
      </w:r>
    </w:p>
    <w:bookmarkEnd w:id="117"/>
    <w:bookmarkStart w:id="118" w:name="X08858ee36b7637e0c1b2837b5d43ca65099d4a4"/>
    <w:p>
      <w:pPr>
        <w:pStyle w:val="Heading1"/>
      </w:pPr>
      <w:r>
        <w:rPr>
          <w:rStyle w:val="SectionNumber"/>
        </w:rPr>
        <w:t xml:space="preserve">22</w:t>
      </w:r>
      <w:r>
        <w:tab/>
      </w:r>
      <w:r>
        <w:t xml:space="preserve">Anhang A. Mathematische Invarianten und Tests</w:t>
      </w:r>
    </w:p>
    <w:p>
      <w:pPr>
        <w:pStyle w:val="Compact"/>
        <w:numPr>
          <w:ilvl w:val="0"/>
          <w:numId w:val="1022"/>
        </w:numPr>
      </w:pPr>
      <w:r>
        <w:rPr>
          <w:b/>
          <w:bCs/>
        </w:rPr>
        <w:t xml:space="preserve">Null-Exposition:</w:t>
      </w:r>
      <w:r>
        <w:t xml:space="preserve"> </w:t>
      </w:r>
      <m:oMath>
        <m:r>
          <m:t>E</m:t>
        </m:r>
        <m:r>
          <m:rPr>
            <m:sty m:val="p"/>
          </m:rPr>
          <m:t>=</m:t>
        </m:r>
        <m:r>
          <m:t>0</m:t>
        </m:r>
        <m:r>
          <m:rPr>
            <m:sty m:val="p"/>
          </m:rPr>
          <m:t>⇒</m:t>
        </m:r>
        <m:r>
          <m:t>H</m:t>
        </m:r>
        <m:r>
          <m:rPr>
            <m:sty m:val="p"/>
          </m:rPr>
          <m:t>=</m:t>
        </m:r>
        <m:r>
          <m:t>0</m:t>
        </m:r>
        <m:r>
          <m:rPr>
            <m:sty m:val="p"/>
          </m:rPr>
          <m:t>⇒</m:t>
        </m:r>
        <m:r>
          <m:t>P</m:t>
        </m:r>
        <m:r>
          <m:rPr>
            <m:sty m:val="p"/>
          </m:rPr>
          <m:t>=</m:t>
        </m:r>
        <m:r>
          <m:t>0</m:t>
        </m:r>
      </m:oMath>
      <w:r>
        <w:t xml:space="preserve"> </w:t>
      </w:r>
      <w:r>
        <w:t xml:space="preserve">für den Aktivitätskanal.</w:t>
      </w:r>
    </w:p>
    <w:p>
      <w:pPr>
        <w:pStyle w:val="Compact"/>
        <w:numPr>
          <w:ilvl w:val="0"/>
          <w:numId w:val="1022"/>
        </w:numPr>
      </w:pPr>
      <w:r>
        <w:rPr>
          <w:b/>
          <w:bCs/>
        </w:rPr>
        <w:t xml:space="preserve">Monotonie:</w:t>
      </w:r>
      <w:r>
        <w:t xml:space="preserve"> </w:t>
      </w:r>
      <m:oMath>
        <m:r>
          <m:t>r</m:t>
        </m:r>
        <m:r>
          <m:rPr>
            <m:sty m:val="p"/>
          </m:rPr>
          <m:t>≥</m:t>
        </m:r>
        <m:r>
          <m:t>0</m:t>
        </m:r>
        <m:r>
          <m:rPr>
            <m:sty m:val="p"/>
          </m:rPr>
          <m:t>⇒</m:t>
        </m:r>
        <m:r>
          <m:rPr>
            <m:sty m:val="p"/>
          </m:rPr>
          <m:t>∂</m:t>
        </m:r>
        <m:r>
          <m:t>P</m:t>
        </m:r>
        <m:r>
          <m:rPr>
            <m:sty m:val="p"/>
          </m:rPr>
          <m:t>/</m:t>
        </m:r>
        <m:r>
          <m:rPr>
            <m:sty m:val="p"/>
          </m:rPr>
          <m:t>∂</m:t>
        </m:r>
        <m:r>
          <m:t>E</m:t>
        </m:r>
        <m:r>
          <m:rPr>
            <m:sty m:val="p"/>
          </m:rPr>
          <m:t>≥</m:t>
        </m:r>
        <m:r>
          <m:t>0</m:t>
        </m:r>
      </m:oMath>
      <w:r>
        <w:t xml:space="preserve">.</w:t>
      </w:r>
    </w:p>
    <w:p>
      <w:pPr>
        <w:pStyle w:val="Compact"/>
        <w:numPr>
          <w:ilvl w:val="0"/>
          <w:numId w:val="1022"/>
        </w:numPr>
      </w:pPr>
      <w:r>
        <w:rPr>
          <w:b/>
          <w:bCs/>
        </w:rPr>
        <w:t xml:space="preserve">Barrierenmonotonie:</w:t>
      </w:r>
      <w:r>
        <w:t xml:space="preserve"> </w:t>
      </w:r>
      <w:r>
        <w:t xml:space="preserve">Schutzwirkung darf Zielendpunkt nicht erhöhen.</w:t>
      </w:r>
    </w:p>
    <w:p>
      <w:pPr>
        <w:pStyle w:val="Compact"/>
        <w:numPr>
          <w:ilvl w:val="0"/>
          <w:numId w:val="1022"/>
        </w:numPr>
      </w:pPr>
      <w:r>
        <w:rPr>
          <w:b/>
          <w:bCs/>
        </w:rPr>
        <w:t xml:space="preserve">Endpunktkohärenz:</w:t>
      </w:r>
      <w:r>
        <w:t xml:space="preserve"> </w:t>
      </w:r>
      <w:r>
        <w:t xml:space="preserve">konkurrierende Endpunkte summieren sich bedingt auf ein Ereignis zu 1.</w:t>
      </w:r>
    </w:p>
    <w:p>
      <w:pPr>
        <w:pStyle w:val="Compact"/>
        <w:numPr>
          <w:ilvl w:val="0"/>
          <w:numId w:val="1022"/>
        </w:numPr>
      </w:pPr>
      <w:r>
        <w:rPr>
          <w:b/>
          <w:bCs/>
        </w:rPr>
        <w:t xml:space="preserve">Einheiten:</w:t>
      </w:r>
      <w:r>
        <w:t xml:space="preserve"> </w:t>
      </w:r>
      <m:oMath>
        <m:r>
          <m:rPr>
            <m:sty m:val="p"/>
          </m:rPr>
          <m:t>[</m:t>
        </m:r>
        <m:r>
          <m:t>E</m:t>
        </m:r>
        <m:r>
          <m:rPr>
            <m:sty m:val="p"/>
          </m:rPr>
          <m:t>]</m:t>
        </m:r>
        <m:r>
          <m:rPr>
            <m:sty m:val="p"/>
          </m:rPr>
          <m:t>[</m:t>
        </m:r>
        <m:r>
          <m:t>r</m:t>
        </m:r>
        <m:r>
          <m:rPr>
            <m:sty m:val="p"/>
          </m:rPr>
          <m:t>]</m:t>
        </m:r>
        <m:r>
          <m:rPr>
            <m:sty m:val="p"/>
          </m:rPr>
          <m:t>=</m:t>
        </m:r>
        <m:r>
          <m:t>1</m:t>
        </m:r>
      </m:oMath>
      <w:r>
        <w:t xml:space="preserve">.</w:t>
      </w:r>
    </w:p>
    <w:p>
      <w:pPr>
        <w:pStyle w:val="Compact"/>
        <w:numPr>
          <w:ilvl w:val="0"/>
          <w:numId w:val="1022"/>
        </w:numPr>
      </w:pPr>
      <w:r>
        <w:rPr>
          <w:b/>
          <w:bCs/>
        </w:rPr>
        <w:t xml:space="preserve">Grenzen:</w:t>
      </w:r>
      <w:r>
        <w:t xml:space="preserve"> </w:t>
      </w:r>
      <m:oMath>
        <m:r>
          <m:t>0</m:t>
        </m:r>
        <m:r>
          <m:rPr>
            <m:sty m:val="p"/>
          </m:rPr>
          <m:t>≤</m:t>
        </m:r>
        <m:r>
          <m:t>P</m:t>
        </m:r>
        <m:r>
          <m:rPr>
            <m:sty m:val="p"/>
          </m:rPr>
          <m:t>≤</m:t>
        </m:r>
        <m:r>
          <m:t>1</m:t>
        </m:r>
      </m:oMath>
      <w:r>
        <w:t xml:space="preserve">,</w:t>
      </w:r>
      <w:r>
        <w:t xml:space="preserve"> </w:t>
      </w:r>
      <m:oMath>
        <m:r>
          <m:t>0</m:t>
        </m:r>
        <m:r>
          <m:rPr>
            <m:sty m:val="p"/>
          </m:rPr>
          <m:t>≤</m:t>
        </m:r>
        <m:r>
          <m:t>M</m:t>
        </m:r>
        <m:r>
          <m:rPr>
            <m:sty m:val="p"/>
          </m:rPr>
          <m:t>≤</m:t>
        </m:r>
        <m:sSup>
          <m:e>
            <m:r>
              <m:t>10</m:t>
            </m:r>
          </m:e>
          <m:sup>
            <m:r>
              <m:t>6</m:t>
            </m:r>
          </m:sup>
        </m:sSup>
      </m:oMath>
      <w:r>
        <w:t xml:space="preserve">.</w:t>
      </w:r>
    </w:p>
    <w:p>
      <w:pPr>
        <w:pStyle w:val="Compact"/>
        <w:numPr>
          <w:ilvl w:val="0"/>
          <w:numId w:val="1022"/>
        </w:numPr>
      </w:pPr>
      <w:r>
        <w:rPr>
          <w:b/>
          <w:bCs/>
        </w:rPr>
        <w:t xml:space="preserve">Aggregation:</w:t>
      </w:r>
      <w:r>
        <w:t xml:space="preserve"> </w:t>
      </w:r>
      <w:r>
        <w:t xml:space="preserve">Reihenfolge unabhängiger Hazardbeiträge verändert das Ergebnis nicht.</w:t>
      </w:r>
    </w:p>
    <w:p>
      <w:pPr>
        <w:pStyle w:val="Compact"/>
        <w:numPr>
          <w:ilvl w:val="0"/>
          <w:numId w:val="1022"/>
        </w:numPr>
      </w:pPr>
      <w:r>
        <w:rPr>
          <w:b/>
          <w:bCs/>
        </w:rPr>
        <w:t xml:space="preserve">Korrelation:</w:t>
      </w:r>
      <w:r>
        <w:t xml:space="preserve"> </w:t>
      </w:r>
      <w:r>
        <w:t xml:space="preserve">gemeinsame Parameterziehungen bleiben in Monte Carlo erhalten.</w:t>
      </w:r>
    </w:p>
    <w:p>
      <w:pPr>
        <w:pStyle w:val="Compact"/>
        <w:numPr>
          <w:ilvl w:val="0"/>
          <w:numId w:val="1022"/>
        </w:numPr>
      </w:pPr>
      <w:r>
        <w:rPr>
          <w:b/>
          <w:bCs/>
        </w:rPr>
        <w:t xml:space="preserve">Reproduzierbarkeit:</w:t>
      </w:r>
      <w:r>
        <w:t xml:space="preserve"> </w:t>
      </w:r>
      <w:r>
        <w:t xml:space="preserve">identischer Daten- und Parameter-Snapshot plus Seed ergibt identische Simulation.</w:t>
      </w:r>
    </w:p>
    <w:p>
      <w:pPr>
        <w:pStyle w:val="Compact"/>
        <w:numPr>
          <w:ilvl w:val="0"/>
          <w:numId w:val="1022"/>
        </w:numPr>
      </w:pPr>
      <w:r>
        <w:rPr>
          <w:b/>
          <w:bCs/>
        </w:rPr>
        <w:t xml:space="preserve">Extrapolation:</w:t>
      </w:r>
      <w:r>
        <w:t xml:space="preserve"> </w:t>
      </w:r>
      <w:r>
        <w:t xml:space="preserve">außerhalb des Gültigkeitsbereichs wird eine Warnung oder keine Zahl ausgegeben.</w:t>
      </w:r>
    </w:p>
    <w:bookmarkEnd w:id="118"/>
    <w:bookmarkStart w:id="119" w:name="anhang-b.-evidence-gate-prüfbogen"/>
    <w:p>
      <w:pPr>
        <w:pStyle w:val="Heading1"/>
      </w:pPr>
      <w:r>
        <w:rPr>
          <w:rStyle w:val="SectionNumber"/>
        </w:rPr>
        <w:t xml:space="preserve">23</w:t>
      </w:r>
      <w:r>
        <w:tab/>
      </w:r>
      <w:r>
        <w:t xml:space="preserve">Anhang B. Evidence-Gate-Prüfbogen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Prüffeld</w:t>
            </w:r>
          </w:p>
        </w:tc>
        <w:tc>
          <w:tcPr/>
          <w:p>
            <w:pPr>
              <w:pStyle w:val="Compact"/>
              <w:jc w:val="center"/>
            </w:pPr>
            <w:r>
              <w:t xml:space="preserve">Ja</w:t>
            </w:r>
          </w:p>
        </w:tc>
        <w:tc>
          <w:tcPr/>
          <w:p>
            <w:pPr>
              <w:pStyle w:val="Compact"/>
              <w:jc w:val="center"/>
            </w:pPr>
            <w:r>
              <w:t xml:space="preserve">Nein</w:t>
            </w:r>
          </w:p>
        </w:tc>
        <w:tc>
          <w:tcPr/>
          <w:p>
            <w:pPr>
              <w:pStyle w:val="Compact"/>
            </w:pPr>
            <w:r>
              <w:t xml:space="preserve">Begründung / Quelle</w:t>
            </w:r>
          </w:p>
        </w:tc>
      </w:tr>
      <w:tr>
        <w:tc>
          <w:tcPr/>
          <w:p>
            <w:pPr>
              <w:pStyle w:val="Compact"/>
            </w:pPr>
            <w:r>
              <w:t xml:space="preserve">Quelle versioniert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Population definiert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Exposition definiert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Endpunkt definiert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Numerische Rate vorhanden</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Unsicherheit verfügbar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Übertragbarkeit begründet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Abhängigkeiten geprüft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Lizenz geklärt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Validierung geplant</w:t>
            </w:r>
          </w:p>
        </w:tc>
        <w:tc>
          <w:tcPr/>
          <w:p>
            <w:pPr>
              <w:pStyle w:val="Compact"/>
              <w:jc w:val="center"/>
            </w:pPr>
            <w:r>
              <w:t xml:space="preserve">☐</w:t>
            </w:r>
          </w:p>
        </w:tc>
        <w:tc>
          <w:tcPr/>
          <w:p>
            <w:pPr>
              <w:pStyle w:val="Compact"/>
              <w:jc w:val="center"/>
            </w:pPr>
            <w:r>
              <w:t xml:space="preserve">☐</w:t>
            </w:r>
          </w:p>
        </w:tc>
        <w:tc>
          <w:tcPr/>
          <w:p>
            <w:pPr>
              <w:pStyle w:val="Compact"/>
            </w:pPr>
          </w:p>
        </w:tc>
      </w:tr>
    </w:tbl>
    <w:bookmarkEnd w:id="119"/>
    <w:bookmarkStart w:id="120" w:name="anhang-c.-forschungsagenda"/>
    <w:p>
      <w:pPr>
        <w:pStyle w:val="Heading1"/>
      </w:pPr>
      <w:r>
        <w:rPr>
          <w:rStyle w:val="SectionNumber"/>
        </w:rPr>
        <w:t xml:space="preserve">24</w:t>
      </w:r>
      <w:r>
        <w:tab/>
      </w:r>
      <w:r>
        <w:t xml:space="preserve">Anhang C. Forschungsagenda</w:t>
      </w:r>
    </w:p>
    <w:p>
      <w:pPr>
        <w:pStyle w:val="FirstParagraph"/>
      </w:pPr>
      <w:r>
        <w:t xml:space="preserve">Die Literaturrecherche wird als lebendes Register fortgeführt. Für jede Domäne werden Suchstrings, Ein- und Ausschlusskriterien, Datenextraktion, Qualitätsbewertung und Versionshistorie dokumentiert. Priorität erhalten Quellen, die Ereigniszahl, Exposition und Endpunkt in derselben Population beobachten. Studien mit reinen Odds Ratios ohne Basisrate werden nur als Modifikator genutzt, wenn eine kompatible Basisrate vorhanden ist. Mechanistische Modelle werden erst integriert, wenn die Verbindung vom technischen Versagen zum individuellen Endpunkt empirisch bestimmt oder mit expliziter Unsicherheit modelliert werden kann.</w:t>
      </w:r>
    </w:p>
    <w:bookmarkEnd w:id="120"/>
    <w:sectPr w:rsidR="00FC693F" w:rsidRPr="0006063C" w:rsidSect="00034616">
      <w:headerReference r:id="rId9" w:type="default"/>
      <w:footerReference r:id="rId10" w:type="default"/>
      <w:pgSz w:h="15840" w:w="12240"/>
      <w:pgMar w:bottom="1037" w:footer="720" w:gutter="0" w:header="720" w:left="1296" w:right="1296"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mbria" w:hAnsi="Cambria"/>
        <w:color w:val="3C3C3C"/>
        <w:sz w:val="16"/>
      </w:rPr>
      <w:t>Personal Quantitative Risk Assessment (P-QRA)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Cambria" w:hAnsi="Cambri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20"/>
      <w:outlineLvl w:val="0"/>
    </w:pPr>
    <w:rPr>
      <w:rFonts w:ascii="Cambria" w:asciiTheme="majorHAnsi" w:cstheme="majorBidi" w:eastAsiaTheme="majorEastAsia" w:hAnsi="Cambria"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00" w:before="220"/>
      <w:outlineLvl w:val="1"/>
    </w:pPr>
    <w:rPr>
      <w:rFonts w:ascii="Cambria" w:asciiTheme="majorHAnsi" w:cstheme="majorBidi" w:eastAsiaTheme="majorEastAsia" w:hAnsi="Cambria"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00" w:before="220"/>
      <w:outlineLvl w:val="2"/>
    </w:pPr>
    <w:rPr>
      <w:rFonts w:ascii="Cambria" w:asciiTheme="majorHAnsi" w:cstheme="majorBidi" w:eastAsiaTheme="majorEastAsia" w:hAnsi="Cambria" w:hAnsiTheme="majorHAnsi"/>
      <w:b/>
      <w:bCs/>
      <w:color w:val="000000"/>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00" w:before="220" w:line="240" w:lineRule="auto"/>
      <w:contextualSpacing/>
    </w:pPr>
    <w:rPr>
      <w:rFonts w:ascii="Cambria" w:asciiTheme="majorHAnsi" w:cstheme="majorBidi" w:eastAsiaTheme="majorEastAsia" w:hAnsi="Cambria" w:hAnsiTheme="majorHAnsi"/>
      <w:b/>
      <w:color w:val="000000"/>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00" w:before="220"/>
    </w:pPr>
    <w:rPr>
      <w:rFonts w:ascii="Cambria" w:asciiTheme="majorHAnsi" w:cstheme="majorBidi" w:eastAsiaTheme="majorEastAsia" w:hAnsi="Cambria" w:hAnsiTheme="majorHAnsi"/>
      <w:b w:val="0"/>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Equation" w:type="paragraph">
    <w:name w:val="Equation"/>
    <w:pPr>
      <w:spacing w:after="120" w:before="120"/>
      <w:jc w:val="center"/>
    </w:pPr>
    <w:rPr>
      <w:rFonts w:ascii="Cambria Math" w:hAnsi="Cambria Math"/>
      <w:sz w:val="23"/>
    </w:rPr>
  </w:style>
  <w:style w:customStyle="1" w:styleId="AbstractText" w:type="paragraph">
    <w:name w:val="AbstractText"/>
    <w:pPr>
      <w:spacing w:line="252" w:lineRule="auto"/>
      <w:ind w:left="648" w:right="648"/>
    </w:pPr>
    <w:rPr>
      <w:rFonts w:ascii="Cambria" w:hAnsi="Cambria"/>
      <w:sz w:val="19"/>
    </w:rPr>
  </w:style>
  <w:style w:customStyle="1" w:styleId="CaptionText" w:type="paragraph">
    <w:name w:val="CaptionText"/>
    <w:pPr>
      <w:jc w:val="center"/>
    </w:pPr>
    <w:rPr>
      <w:rFonts w:ascii="Cambria" w:hAnsi="Cambria"/>
      <w:i/>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Quantitative Risk Assessment (P-QRA)</dc:title>
  <dc:creator>Arian Berisha</dc:creator>
  <dc:language>de-DE</dc:language>
  <cp:keywords/>
  <dcterms:created xsi:type="dcterms:W3CDTF">2026-09-01T18:39:39Z</dcterms:created>
  <dcterms:modified xsi:type="dcterms:W3CDTF">2026-09-01T18:39:39Z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Überarbeitete und erweiterte Fassung, September 2026</vt:lpwstr>
  </property>
  <property fmtid="{D5CDD505-2E9C-101B-9397-08002B2CF9AE}" pid="3" name="subtitle">
    <vt:lpwstr>Ein generalisiertes, barrierebasiertes und unsicherheitssensitives Hazard-Modell für individuelle Alltagsrisiken</vt:lpwstr>
  </property>
</Properties>
</file>