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 Billion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($52.8B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inmediato de exportaciones por la OMSA.</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$248,956,436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$13,993,371,594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$47,788,256,623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$52,122,632,249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$52,821,845,106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costo del sacrificio sanitario domina completamente al cierre de exportaciones ($33.5B vs $246M en el mes pico). A 5 meses, la pérdida acumulada alcanza $52.8 Billion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£8B (~$12B USD), con 6.5 millones de animales sacrificados y £1.3B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800"/>
        <w:gridCol w:w="1600"/>
        <w:gridCol w:w="2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 de Detección</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Animales 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 (USD)</w:t>
            </w:r>
          </w:p>
        </w:tc>
        <w:tc>
          <w:tcPr>
            <w:tcW w:type="dxa" w:w="2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$1,230M</w:t>
            </w:r>
          </w:p>
        </w:tc>
        <w:tc>
          <w:tcPr>
            <w:tcW w:type="dxa" w:w="2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$54.05B (97.77%)</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$1,231M</w:t>
            </w:r>
          </w:p>
        </w:tc>
        <w:tc>
          <w:tcPr>
            <w:tcW w:type="dxa" w:w="2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$54.05B (97.77%)</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$1,318M</w:t>
            </w:r>
          </w:p>
        </w:tc>
        <w:tc>
          <w:tcPr>
            <w:tcW w:type="dxa" w:w="2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$53.96B (97.62%)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$55,282M</w:t>
            </w:r>
          </w:p>
        </w:tc>
        <w:tc>
          <w:tcPr>
            <w:tcW w:type="dxa" w:w="2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b/>
          <w:bCs/>
          <w:sz w:val="22"/>
          <w:szCs w:val="22"/>
        </w:rPr>
        <w:t xml:space="preserve">Hallazgos clave:</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La diferencia entre detectar en el Día 3 (16 animales sacrificados) vs. el Día 30 (56,674) es de 3,542x — pero ambos siguen siendo manejables comparados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El costo anual del sistema de vigilancia epidemiológica de la CPA (~$20M USD estimados) evita pérdidas de $54 Billion USD. Eso es un ROI de 2,700:1.</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Incluso con detección en Día 3 (solo 16 animales), el cierre OMSA de exportaciones genera $1.23B en pérdidas. Este costo es inevitable una vez declarado I₀ = 1, lo que refuerza que la única defensa real es la prevención absoluta.</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w:t>
      </w:r>
      <w:r>
        <w:rPr>
          <w:rFonts w:ascii="Arial" w:cs="Arial" w:eastAsia="Arial" w:hAnsi="Arial"/>
          <w:sz w:val="22"/>
          <w:szCs w:val="22"/>
        </w:rPr>
        <w:t xml:space="preserve">A modo de referencia, la TB Bovina (endémica, R₀ = 1.8) genera pérdidas de ~$7.8M USD en 12 meses sin detección. La FMD genera $55.3B USD en 5 meses — una diferencia de 7,000x. Esto valida la decisión estratégica de usar TB como proxy de calibración: si el modelo funciona para el "sangrado silencioso" de TB, está preparado para el "colapso nuclear" de FMD.</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c08755deb719d431a231114e098f44e648686ecf.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2026-05-07T14:51:22.319Z</dcterms:created>
  <dcterms:modified xsi:type="dcterms:W3CDTF">2026-05-07T14:51:22.328Z</dcterms:modified>
</cp:coreProperties>
</file>

<file path=docProps/custom.xml><?xml version="1.0" encoding="utf-8"?>
<Properties xmlns="http://schemas.openxmlformats.org/officeDocument/2006/custom-properties" xmlns:vt="http://schemas.openxmlformats.org/officeDocument/2006/docPropsVTypes"/>
</file>