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pBdr>
          <w:bottom w:val="single" w:color="9C223F" w:sz="12" w:space="1"/>
        </w:pBdr>
        <w:spacing w:after="0"/>
        <w:jc w:val="center"/>
      </w:pPr>
    </w:p>
    <w:p>
      <w:pPr>
        <w:spacing w:after="400" w:before="0"/>
      </w:pPr>
    </w:p>
    <w:p>
      <w:pPr>
        <w:spacing w:after="80" w:before="200"/>
        <w:jc w:val="center"/>
      </w:pPr>
      <w:r>
        <w:rPr>
          <w:rFonts w:ascii="Arial" w:cs="Arial" w:eastAsia="Arial" w:hAnsi="Arial"/>
          <w:b/>
          <w:bCs/>
          <w:color w:val="9C223F"/>
          <w:sz w:val="52"/>
          <w:szCs w:val="52"/>
        </w:rPr>
        <w:t xml:space="preserve">GANADO SALUDABLE</w:t>
      </w:r>
    </w:p>
    <w:p>
      <w:pPr>
        <w:spacing w:after="40" w:before="0"/>
        <w:jc w:val="center"/>
      </w:pPr>
      <w:r>
        <w:rPr>
          <w:rFonts w:ascii="Arial" w:cs="Arial" w:eastAsia="Arial" w:hAnsi="Arial"/>
          <w:color w:val="1A1A2E"/>
          <w:sz w:val="28"/>
          <w:szCs w:val="28"/>
        </w:rPr>
        <w:t xml:space="preserve">Sistema Integral de Auditoría Epidemiológica Bovina</w:t>
      </w:r>
    </w:p>
    <w:p>
      <w:pPr>
        <w:spacing w:after="200" w:before="0"/>
      </w:pPr>
    </w:p>
    <w:p>
      <w:pPr>
        <w:pBdr>
          <w:bottom w:val="single" w:color="C9A84C" w:sz="6" w:space="1"/>
        </w:pBdr>
        <w:spacing w:after="0"/>
        <w:jc w:val="center"/>
      </w:pPr>
    </w:p>
    <w:p>
      <w:pPr>
        <w:spacing w:after="400" w:before="0"/>
      </w:pPr>
    </w:p>
    <w:p>
      <w:pPr>
        <w:spacing w:after="200" w:before="80"/>
        <w:jc w:val="center"/>
      </w:pPr>
      <w:r>
        <w:rPr>
          <w:rFonts w:ascii="Arial" w:cs="Arial" w:eastAsia="Arial" w:hAnsi="Arial"/>
          <w:b/>
          <w:bCs/>
          <w:color w:val="C9A84C"/>
          <w:sz w:val="32"/>
          <w:szCs w:val="32"/>
        </w:rPr>
        <w:t xml:space="preserve">SEGUNDO AVANCE — REPORTE DE EJECUCIÓN</w:t>
      </w:r>
    </w:p>
    <w:p>
      <w:pPr>
        <w:spacing w:after="4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left w:val="none"/>
              <w:bottom w:val="none"/>
              <w:right w:val="none"/>
            </w:tcBorders>
            <w:shd w:fill="9C223F" w:val="clear"/>
            <w:tcMar>
              <w:top w:type="dxa" w:w="80"/>
              <w:left w:type="dxa" w:w="160"/>
              <w:bottom w:type="dxa" w:w="80"/>
              <w:right w:type="dxa" w:w="160"/>
            </w:tcMar>
          </w:tcPr>
          <w:p>
            <w:pPr>
              <w:jc w:val="right"/>
            </w:pPr>
            <w:r>
              <w:rPr>
                <w:rFonts w:ascii="Arial" w:cs="Arial" w:eastAsia="Arial" w:hAnsi="Arial"/>
                <w:b/>
                <w:bCs/>
                <w:color w:val="FFFFFF"/>
                <w:sz w:val="20"/>
                <w:szCs w:val="20"/>
              </w:rPr>
              <w:t xml:space="preserve">Universidad</w:t>
            </w:r>
          </w:p>
        </w:tc>
        <w:tc>
          <w:tcPr>
            <w:tcW w:type="dxa" w:w="5426"/>
            <w:tcBorders>
              <w:top w:val="none"/>
              <w:left w:val="single" w:color="C9A84C" w:sz="3"/>
              <w:bottom w:val="none"/>
              <w:right w:val="none"/>
            </w:tcBorders>
            <w:shd w:fill="F8F4F0" w:val="clear"/>
            <w:tcMar>
              <w:top w:type="dxa" w:w="80"/>
              <w:left w:type="dxa" w:w="160"/>
              <w:bottom w:type="dxa" w:w="80"/>
              <w:right w:type="dxa" w:w="160"/>
            </w:tcMar>
          </w:tcPr>
          <w:p>
            <w:r>
              <w:rPr>
                <w:rFonts w:ascii="Arial" w:cs="Arial" w:eastAsia="Arial" w:hAnsi="Arial"/>
                <w:color w:val="1A1A2E"/>
                <w:sz w:val="20"/>
                <w:szCs w:val="20"/>
              </w:rPr>
              <w:t xml:space="preserve">Universidad Nacional "Rosario Castellanos"</w:t>
            </w:r>
          </w:p>
        </w:tc>
      </w:tr>
      <w:tr>
        <w:tc>
          <w:tcPr>
            <w:tcW w:type="dxa" w:w="3600"/>
            <w:tcBorders>
              <w:top w:val="none"/>
              <w:left w:val="none"/>
              <w:bottom w:val="none"/>
              <w:right w:val="none"/>
            </w:tcBorders>
            <w:shd w:fill="9C223F" w:val="clear"/>
            <w:tcMar>
              <w:top w:type="dxa" w:w="80"/>
              <w:left w:type="dxa" w:w="160"/>
              <w:bottom w:type="dxa" w:w="80"/>
              <w:right w:type="dxa" w:w="160"/>
            </w:tcMar>
          </w:tcPr>
          <w:p>
            <w:pPr>
              <w:jc w:val="right"/>
            </w:pPr>
            <w:r>
              <w:rPr>
                <w:rFonts w:ascii="Arial" w:cs="Arial" w:eastAsia="Arial" w:hAnsi="Arial"/>
                <w:b/>
                <w:bCs/>
                <w:color w:val="FFFFFF"/>
                <w:sz w:val="20"/>
                <w:szCs w:val="20"/>
              </w:rPr>
              <w:t xml:space="preserve">Carrera</w:t>
            </w:r>
          </w:p>
        </w:tc>
        <w:tc>
          <w:tcPr>
            <w:tcW w:type="dxa" w:w="5426"/>
            <w:tcBorders>
              <w:top w:val="none"/>
              <w:left w:val="single" w:color="C9A84C" w:sz="3"/>
              <w:bottom w:val="none"/>
              <w:right w:val="none"/>
            </w:tcBorders>
            <w:shd w:fill="F8F4F0" w:val="clear"/>
            <w:tcMar>
              <w:top w:type="dxa" w:w="80"/>
              <w:left w:type="dxa" w:w="160"/>
              <w:bottom w:type="dxa" w:w="80"/>
              <w:right w:type="dxa" w:w="160"/>
            </w:tcMar>
          </w:tcPr>
          <w:p>
            <w:r>
              <w:rPr>
                <w:rFonts w:ascii="Arial" w:cs="Arial" w:eastAsia="Arial" w:hAnsi="Arial"/>
                <w:color w:val="1A1A2E"/>
                <w:sz w:val="20"/>
                <w:szCs w:val="20"/>
              </w:rPr>
              <w:t xml:space="preserve">Licenciatura en Ciencias de Datos para Negocios</w:t>
            </w:r>
          </w:p>
        </w:tc>
      </w:tr>
      <w:tr>
        <w:tc>
          <w:tcPr>
            <w:tcW w:type="dxa" w:w="3600"/>
            <w:tcBorders>
              <w:top w:val="none"/>
              <w:left w:val="none"/>
              <w:bottom w:val="none"/>
              <w:right w:val="none"/>
            </w:tcBorders>
            <w:shd w:fill="9C223F" w:val="clear"/>
            <w:tcMar>
              <w:top w:type="dxa" w:w="80"/>
              <w:left w:type="dxa" w:w="160"/>
              <w:bottom w:type="dxa" w:w="80"/>
              <w:right w:type="dxa" w:w="160"/>
            </w:tcMar>
          </w:tcPr>
          <w:p>
            <w:pPr>
              <w:jc w:val="right"/>
            </w:pPr>
            <w:r>
              <w:rPr>
                <w:rFonts w:ascii="Arial" w:cs="Arial" w:eastAsia="Arial" w:hAnsi="Arial"/>
                <w:b/>
                <w:bCs/>
                <w:color w:val="FFFFFF"/>
                <w:sz w:val="20"/>
                <w:szCs w:val="20"/>
              </w:rPr>
              <w:t xml:space="preserve">Semestre</w:t>
            </w:r>
          </w:p>
        </w:tc>
        <w:tc>
          <w:tcPr>
            <w:tcW w:type="dxa" w:w="5426"/>
            <w:tcBorders>
              <w:top w:val="none"/>
              <w:left w:val="single" w:color="C9A84C" w:sz="3"/>
              <w:bottom w:val="none"/>
              <w:right w:val="none"/>
            </w:tcBorders>
            <w:shd w:fill="F8F4F0" w:val="clear"/>
            <w:tcMar>
              <w:top w:type="dxa" w:w="80"/>
              <w:left w:type="dxa" w:w="160"/>
              <w:bottom w:type="dxa" w:w="80"/>
              <w:right w:type="dxa" w:w="160"/>
            </w:tcMar>
          </w:tcPr>
          <w:p>
            <w:r>
              <w:rPr>
                <w:rFonts w:ascii="Arial" w:cs="Arial" w:eastAsia="Arial" w:hAnsi="Arial"/>
                <w:color w:val="1A1A2E"/>
                <w:sz w:val="20"/>
                <w:szCs w:val="20"/>
              </w:rPr>
              <w:t xml:space="preserve">4° — 2026-1</w:t>
            </w:r>
          </w:p>
        </w:tc>
      </w:tr>
      <w:tr>
        <w:tc>
          <w:tcPr>
            <w:tcW w:type="dxa" w:w="3600"/>
            <w:tcBorders>
              <w:top w:val="none"/>
              <w:left w:val="none"/>
              <w:bottom w:val="none"/>
              <w:right w:val="none"/>
            </w:tcBorders>
            <w:shd w:fill="9C223F" w:val="clear"/>
            <w:tcMar>
              <w:top w:type="dxa" w:w="80"/>
              <w:left w:type="dxa" w:w="160"/>
              <w:bottom w:type="dxa" w:w="80"/>
              <w:right w:type="dxa" w:w="160"/>
            </w:tcMar>
          </w:tcPr>
          <w:p>
            <w:pPr>
              <w:jc w:val="right"/>
            </w:pPr>
            <w:r>
              <w:rPr>
                <w:rFonts w:ascii="Arial" w:cs="Arial" w:eastAsia="Arial" w:hAnsi="Arial"/>
                <w:b/>
                <w:bCs/>
                <w:color w:val="FFFFFF"/>
                <w:sz w:val="20"/>
                <w:szCs w:val="20"/>
              </w:rPr>
              <w:t xml:space="preserve">Enfermedad</w:t>
            </w:r>
          </w:p>
        </w:tc>
        <w:tc>
          <w:tcPr>
            <w:tcW w:type="dxa" w:w="5426"/>
            <w:tcBorders>
              <w:top w:val="none"/>
              <w:left w:val="single" w:color="C9A84C" w:sz="3"/>
              <w:bottom w:val="none"/>
              <w:right w:val="none"/>
            </w:tcBorders>
            <w:shd w:fill="F8F4F0" w:val="clear"/>
            <w:tcMar>
              <w:top w:type="dxa" w:w="80"/>
              <w:left w:type="dxa" w:w="160"/>
              <w:bottom w:type="dxa" w:w="80"/>
              <w:right w:type="dxa" w:w="160"/>
            </w:tcMar>
          </w:tcPr>
          <w:p>
            <w:r>
              <w:rPr>
                <w:rFonts w:ascii="Arial" w:cs="Arial" w:eastAsia="Arial" w:hAnsi="Arial"/>
                <w:color w:val="1A1A2E"/>
                <w:sz w:val="20"/>
                <w:szCs w:val="20"/>
              </w:rPr>
              <w:t xml:space="preserve">Fiebre Aftosa (FMD) | Proxy: Tuberculosis Bovina</w:t>
            </w:r>
          </w:p>
        </w:tc>
      </w:tr>
      <w:tr>
        <w:tc>
          <w:tcPr>
            <w:tcW w:type="dxa" w:w="3600"/>
            <w:tcBorders>
              <w:top w:val="none"/>
              <w:left w:val="none"/>
              <w:bottom w:val="none"/>
              <w:right w:val="none"/>
            </w:tcBorders>
            <w:shd w:fill="9C223F" w:val="clear"/>
            <w:tcMar>
              <w:top w:type="dxa" w:w="80"/>
              <w:left w:type="dxa" w:w="160"/>
              <w:bottom w:type="dxa" w:w="80"/>
              <w:right w:type="dxa" w:w="160"/>
            </w:tcMar>
          </w:tcPr>
          <w:p>
            <w:pPr>
              <w:jc w:val="right"/>
            </w:pPr>
            <w:r>
              <w:rPr>
                <w:rFonts w:ascii="Arial" w:cs="Arial" w:eastAsia="Arial" w:hAnsi="Arial"/>
                <w:b/>
                <w:bCs/>
                <w:color w:val="FFFFFF"/>
                <w:sz w:val="20"/>
                <w:szCs w:val="20"/>
              </w:rPr>
              <w:t xml:space="preserve">Fecha</w:t>
            </w:r>
          </w:p>
        </w:tc>
        <w:tc>
          <w:tcPr>
            <w:tcW w:type="dxa" w:w="5426"/>
            <w:tcBorders>
              <w:top w:val="none"/>
              <w:left w:val="single" w:color="C9A84C" w:sz="3"/>
              <w:bottom w:val="none"/>
              <w:right w:val="none"/>
            </w:tcBorders>
            <w:shd w:fill="F8F4F0" w:val="clear"/>
            <w:tcMar>
              <w:top w:type="dxa" w:w="80"/>
              <w:left w:type="dxa" w:w="160"/>
              <w:bottom w:type="dxa" w:w="80"/>
              <w:right w:type="dxa" w:w="160"/>
            </w:tcMar>
          </w:tcPr>
          <w:p>
            <w:r>
              <w:rPr>
                <w:rFonts w:ascii="Arial" w:cs="Arial" w:eastAsia="Arial" w:hAnsi="Arial"/>
                <w:color w:val="1A1A2E"/>
                <w:sz w:val="20"/>
                <w:szCs w:val="20"/>
              </w:rPr>
              <w:t xml:space="preserve">30 de abril de 2026</w:t>
            </w:r>
          </w:p>
        </w:tc>
      </w:tr>
    </w:tbl>
    <w:p>
      <w:pPr>
        <w:spacing w:after="800" w:before="0"/>
      </w:pPr>
    </w:p>
    <w:p>
      <w:pPr>
        <w:pBdr>
          <w:top w:val="single" w:color="C9A84C" w:sz="4" w:space="1"/>
        </w:pBdr>
        <w:spacing w:before="200"/>
        <w:jc w:val="center"/>
      </w:pPr>
    </w:p>
    <w:p>
      <w:pPr>
        <w:spacing w:before="80"/>
        <w:jc w:val="center"/>
      </w:pPr>
      <w:r>
        <w:rPr>
          <w:rFonts w:ascii="Arial" w:cs="Arial" w:eastAsia="Arial" w:hAnsi="Arial"/>
          <w:i/>
          <w:iCs/>
          <w:color w:val="999999"/>
          <w:sz w:val="16"/>
          <w:szCs w:val="16"/>
        </w:rPr>
        <w:t xml:space="preserve">Documento generado programáticamente con docx-js</w:t>
      </w:r>
    </w:p>
    <w:p>
      <w:r>
        <w:br w:type="page"/>
      </w:r>
    </w:p>
    <w:p>
      <w:pPr>
        <w:pStyle w:val="Heading1"/>
        <w:spacing w:after="200" w:before="200"/>
      </w:pPr>
      <w:r>
        <w:rPr>
          <w:rFonts w:ascii="Arial" w:cs="Arial" w:eastAsia="Arial" w:hAnsi="Arial"/>
          <w:b/>
          <w:bCs/>
          <w:color w:val="9C223F"/>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spacing w:after="120" w:before="120"/>
        <w:jc w:val="center"/>
      </w:pPr>
      <w:r>
        <w:drawing>
          <wp:inline distT="0" distB="0" distL="0" distR="0">
            <wp:extent cx="4457700" cy="1714500"/>
            <wp:effectExtent t="0" r="0" b="0" l="0"/>
            <wp:docPr id="1" name="kpi_dashboard.png" descr="kpi_dashboard.png" title="kpi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714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Panel de Indicadores Clave del Proyecto Ganado Saludable.</w:t>
      </w:r>
    </w:p>
    <w:p>
      <w:pPr>
        <w:spacing w:after="200" w:before="0"/>
      </w:pPr>
    </w:p>
    <w:p>
      <w:pPr>
        <w:pStyle w:val="Heading1"/>
        <w:pageBreakBefore/>
        <w:spacing w:after="160" w:before="200"/>
      </w:pPr>
      <w:r>
        <w:rPr>
          <w:rFonts w:ascii="Arial" w:cs="Arial" w:eastAsia="Arial" w:hAnsi="Arial"/>
          <w:b/>
          <w:bCs/>
          <w:color w:val="9C223F"/>
          <w:sz w:val="36"/>
          <w:szCs w:val="36"/>
        </w:rPr>
        <w:t xml:space="preserve">1. Introducción</w:t>
      </w:r>
    </w:p>
    <w:p>
      <w:pPr>
        <w:pStyle w:val="Heading2"/>
        <w:spacing w:after="100" w:before="200"/>
      </w:pPr>
      <w:r>
        <w:rPr>
          <w:rFonts w:ascii="Arial" w:cs="Arial" w:eastAsia="Arial" w:hAnsi="Arial"/>
          <w:b/>
          <w:bCs/>
          <w:color w:val="1A1A2E"/>
          <w:sz w:val="28"/>
          <w:szCs w:val="28"/>
        </w:rPr>
        <w:t xml:space="preserve">1.1 Resumen del Primer Avance</w:t>
      </w:r>
    </w:p>
    <w:p>
      <w:pPr>
        <w:spacing w:after="120" w:before="60" w:line="360" w:lineRule="auto"/>
        <w:jc w:val="both"/>
      </w:pPr>
      <w:r>
        <w:rPr>
          <w:rFonts w:ascii="Arial" w:cs="Arial" w:eastAsia="Arial" w:hAnsi="Arial"/>
          <w:sz w:val="22"/>
          <w:szCs w:val="22"/>
        </w:rPr>
        <w:t xml:space="preserve">En el Primer Avance se presentó la arquitectura estratégica del proyecto "Ganado Saludable": un sistema integral de auditoría epidemiológica que utiliza la Tuberculosis Bovina (endémica en México) como proxy de calibración para modelar el impacto catastrófico de una reintroducción de Fiebre Aftosa (FMD), enfermedad de la cual México ha sido declarado libre desde 1954.</w:t>
      </w:r>
    </w:p>
    <w:p>
      <w:pPr>
        <w:spacing w:after="120" w:before="60" w:line="360" w:lineRule="auto"/>
        <w:jc w:val="both"/>
      </w:pPr>
      <w:r>
        <w:rPr>
          <w:rFonts w:ascii="Arial" w:cs="Arial" w:eastAsia="Arial" w:hAnsi="Arial"/>
          <w:sz w:val="22"/>
          <w:szCs w:val="22"/>
        </w:rPr>
        <w:t xml:space="preserve">Se definió la alineación con las 7 materias del semestre, se diseñó la arquitectura ELT (Extract-Load-Transform), y se identificaron las fuentes de datos gubernamentales e internacionales necesarias.</w:t>
      </w:r>
    </w:p>
    <w:p>
      <w:pPr>
        <w:pStyle w:val="Heading2"/>
        <w:spacing w:after="100" w:before="200"/>
      </w:pPr>
      <w:r>
        <w:rPr>
          <w:rFonts w:ascii="Arial" w:cs="Arial" w:eastAsia="Arial" w:hAnsi="Arial"/>
          <w:b/>
          <w:bCs/>
          <w:color w:val="1A1A2E"/>
          <w:sz w:val="28"/>
          <w:szCs w:val="28"/>
        </w:rPr>
        <w:t xml:space="preserve">1.2 Qué se ha ejecutado desde entonces</w:t>
      </w:r>
    </w:p>
    <w:p>
      <w:pPr>
        <w:spacing w:after="120" w:before="60" w:line="360" w:lineRule="auto"/>
        <w:jc w:val="both"/>
      </w:pPr>
      <w:r>
        <w:rPr>
          <w:rFonts w:ascii="Arial" w:cs="Arial" w:eastAsia="Arial" w:hAnsi="Arial"/>
          <w:sz w:val="22"/>
          <w:szCs w:val="22"/>
        </w:rPr>
        <w:t xml:space="preserve">Este Segundo Avance documenta la ejecución completa de la primera mitad del proyecto:</w:t>
      </w:r>
    </w:p>
    <w:p>
      <w:pPr>
        <w:spacing w:after="80" w:before="0"/>
      </w:pPr>
    </w:p>
    <w:p>
      <w:pPr>
        <w:pStyle w:val="ListParagraph"/>
        <w:numPr>
          <w:ilvl w:val="0"/>
          <w:numId w:val="2"/>
        </w:numPr>
        <w:spacing w:after="60" w:before="40" w:line="320" w:lineRule="auto"/>
        <w:jc w:val="both"/>
      </w:pPr>
      <w:r>
        <w:rPr>
          <w:rFonts w:ascii="Arial" w:cs="Arial" w:eastAsia="Arial" w:hAnsi="Arial"/>
          <w:sz w:val="22"/>
          <w:szCs w:val="22"/>
        </w:rPr>
        <w:t xml:space="preserve">Pipeline ELT multi-fuente operativo (~29,200 registros limpios desde 6 fuentes)</w:t>
      </w:r>
    </w:p>
    <w:p>
      <w:pPr>
        <w:pStyle w:val="ListParagraph"/>
        <w:numPr>
          <w:ilvl w:val="0"/>
          <w:numId w:val="2"/>
        </w:numPr>
        <w:spacing w:after="60" w:before="40" w:line="320" w:lineRule="auto"/>
        <w:jc w:val="both"/>
      </w:pPr>
      <w:r>
        <w:rPr>
          <w:rFonts w:ascii="Arial" w:cs="Arial" w:eastAsia="Arial" w:hAnsi="Arial"/>
          <w:sz w:val="22"/>
          <w:szCs w:val="22"/>
        </w:rPr>
        <w:t xml:space="preserve">Análisis Exploratorio de Datos (EDA) con 8 hallazgos cuantificados</w:t>
      </w:r>
    </w:p>
    <w:p>
      <w:pPr>
        <w:pStyle w:val="ListParagraph"/>
        <w:numPr>
          <w:ilvl w:val="0"/>
          <w:numId w:val="2"/>
        </w:numPr>
        <w:spacing w:after="60" w:before="40" w:line="320" w:lineRule="auto"/>
        <w:jc w:val="both"/>
      </w:pPr>
      <w:r>
        <w:rPr>
          <w:rFonts w:ascii="Arial" w:cs="Arial" w:eastAsia="Arial" w:hAnsi="Arial"/>
          <w:sz w:val="22"/>
          <w:szCs w:val="22"/>
        </w:rPr>
        <w:t xml:space="preserve">Análisis Descriptivo de brotes en África (Top 5 países FMD)</w:t>
      </w:r>
    </w:p>
    <w:p>
      <w:pPr>
        <w:pStyle w:val="ListParagraph"/>
        <w:numPr>
          <w:ilvl w:val="0"/>
          <w:numId w:val="2"/>
        </w:numPr>
        <w:spacing w:after="60" w:before="40" w:line="320" w:lineRule="auto"/>
        <w:jc w:val="both"/>
      </w:pPr>
      <w:r>
        <w:rPr>
          <w:rFonts w:ascii="Arial" w:cs="Arial" w:eastAsia="Arial" w:hAnsi="Arial"/>
          <w:sz w:val="22"/>
          <w:szCs w:val="22"/>
        </w:rPr>
        <w:t xml:space="preserve">Análisis Inferencial: correlación zoonótica TB bovina↔humana y ANOVA de canales de venta</w:t>
      </w:r>
    </w:p>
    <w:p>
      <w:pPr>
        <w:pStyle w:val="ListParagraph"/>
        <w:numPr>
          <w:ilvl w:val="0"/>
          <w:numId w:val="2"/>
        </w:numPr>
        <w:spacing w:after="60" w:before="40" w:line="320" w:lineRule="auto"/>
        <w:jc w:val="both"/>
      </w:pPr>
      <w:r>
        <w:rPr>
          <w:rFonts w:ascii="Arial" w:cs="Arial" w:eastAsia="Arial" w:hAnsi="Arial"/>
          <w:sz w:val="22"/>
          <w:szCs w:val="22"/>
        </w:rPr>
        <w:t xml:space="preserve">Data Warehouse: transformación estructurada CSV→JSON con validación Pydantic</w:t>
      </w:r>
    </w:p>
    <w:p>
      <w:pPr>
        <w:pStyle w:val="ListParagraph"/>
        <w:numPr>
          <w:ilvl w:val="0"/>
          <w:numId w:val="2"/>
        </w:numPr>
        <w:spacing w:after="60" w:before="40" w:line="320" w:lineRule="auto"/>
        <w:jc w:val="both"/>
      </w:pPr>
      <w:r>
        <w:rPr>
          <w:rFonts w:ascii="Arial" w:cs="Arial" w:eastAsia="Arial" w:hAnsi="Arial"/>
          <w:sz w:val="22"/>
          <w:szCs w:val="22"/>
        </w:rPr>
        <w:t xml:space="preserve">Modelo matemático SIR dual (TB Bovina vs. FMD) mediante integración numérica de EDOs</w:t>
      </w:r>
    </w:p>
    <w:p>
      <w:pPr>
        <w:pStyle w:val="ListParagraph"/>
        <w:numPr>
          <w:ilvl w:val="0"/>
          <w:numId w:val="2"/>
        </w:numPr>
        <w:spacing w:after="60" w:before="40" w:line="320" w:lineRule="auto"/>
        <w:jc w:val="both"/>
      </w:pPr>
      <w:r>
        <w:rPr>
          <w:rFonts w:ascii="Arial" w:cs="Arial" w:eastAsia="Arial" w:hAnsi="Arial"/>
          <w:sz w:val="22"/>
          <w:szCs w:val="22"/>
        </w:rPr>
        <w:t xml:space="preserve">Cuantificación del impacto económico con modelos basados en literatura científica</w:t>
      </w:r>
    </w:p>
    <w:p>
      <w:pPr>
        <w:pStyle w:val="ListParagraph"/>
        <w:numPr>
          <w:ilvl w:val="0"/>
          <w:numId w:val="2"/>
        </w:numPr>
        <w:spacing w:after="60" w:before="40" w:line="320" w:lineRule="auto"/>
        <w:jc w:val="both"/>
      </w:pPr>
      <w:r>
        <w:rPr>
          <w:rFonts w:ascii="Arial" w:cs="Arial" w:eastAsia="Arial" w:hAnsi="Arial"/>
          <w:sz w:val="22"/>
          <w:szCs w:val="22"/>
        </w:rPr>
        <w:t xml:space="preserve">Arquitectura operativa de despliegue en campo (App + Dashboard NoSQL)</w:t>
      </w:r>
    </w:p>
    <w:p>
      <w:pPr>
        <w:pStyle w:val="Heading1"/>
        <w:pageBreakBefore/>
        <w:spacing w:after="160" w:before="200"/>
      </w:pPr>
      <w:r>
        <w:rPr>
          <w:rFonts w:ascii="Arial" w:cs="Arial" w:eastAsia="Arial" w:hAnsi="Arial"/>
          <w:b/>
          <w:bCs/>
          <w:color w:val="9C223F"/>
          <w:sz w:val="36"/>
          <w:szCs w:val="36"/>
        </w:rPr>
        <w:t xml:space="preserve">2. Pipeline de Datos: Adquisición y Transformación</w:t>
      </w:r>
    </w:p>
    <w:p>
      <w:pPr>
        <w:pStyle w:val="Heading2"/>
        <w:spacing w:after="100" w:before="200"/>
      </w:pPr>
      <w:r>
        <w:rPr>
          <w:rFonts w:ascii="Arial" w:cs="Arial" w:eastAsia="Arial" w:hAnsi="Arial"/>
          <w:b/>
          <w:bCs/>
          <w:color w:val="1A1A2E"/>
          <w:sz w:val="28"/>
          <w:szCs w:val="28"/>
        </w:rPr>
        <w:t xml:space="preserve">2.1 El Problema de los Datos en México</w:t>
      </w:r>
    </w:p>
    <w:p>
      <w:pPr>
        <w:spacing w:after="120" w:before="60" w:line="360" w:lineRule="auto"/>
        <w:jc w:val="both"/>
      </w:pPr>
      <w:r>
        <w:rPr>
          <w:rFonts w:ascii="Arial" w:cs="Arial" w:eastAsia="Arial" w:hAnsi="Arial"/>
          <w:sz w:val="22"/>
          <w:szCs w:val="22"/>
        </w:rPr>
        <w:t xml:space="preserve">Los datos sobre enfermedades animales en México no están en un repositorio centralizado. El ecosistema opera con PDFs gubernamentales sin versión tabular (SENASICA, DGE post-2017, COFEPRIS), APIs no documentadas que retornan 404, dashboards internacionales que generan archivos vía WebSocket (openFMD) y servidores universitarios inestables (UNAM/PUCRA).</w:t>
      </w:r>
    </w:p>
    <w:p>
      <w:pPr>
        <w:pStyle w:val="Heading2"/>
        <w:spacing w:after="100" w:before="200"/>
      </w:pPr>
      <w:r>
        <w:rPr>
          <w:rFonts w:ascii="Arial" w:cs="Arial" w:eastAsia="Arial" w:hAnsi="Arial"/>
          <w:b/>
          <w:bCs/>
          <w:color w:val="1A1A2E"/>
          <w:sz w:val="28"/>
          <w:szCs w:val="28"/>
        </w:rPr>
        <w:t xml:space="preserve">2.2 Estrategia ELT Multi-Fuente</w:t>
      </w:r>
    </w:p>
    <w:p>
      <w:pPr>
        <w:spacing w:after="120" w:before="60" w:line="360" w:lineRule="auto"/>
        <w:jc w:val="both"/>
      </w:pPr>
      <w:r>
        <w:rPr>
          <w:rFonts w:ascii="Arial" w:cs="Arial" w:eastAsia="Arial" w:hAnsi="Arial"/>
          <w:sz w:val="22"/>
          <w:szCs w:val="22"/>
        </w:rPr>
        <w:t xml:space="preserve">Para resolver esta fragmentación, se diseñó un pipeline de Extracción-Carga-Transformación (ELT) resiliente con tres capas:</w:t>
      </w:r>
    </w:p>
    <w:p>
      <w:pPr>
        <w:spacing w:after="80" w:before="0"/>
      </w:pPr>
    </w:p>
    <w:p>
      <w:pPr>
        <w:spacing w:after="120" w:before="60" w:line="360" w:lineRule="auto"/>
        <w:jc w:val="both"/>
      </w:pPr>
      <w:r>
        <w:rPr>
          <w:rFonts w:ascii="Arial" w:cs="Arial" w:eastAsia="Arial" w:hAnsi="Arial"/>
          <w:b/>
          <w:bCs/>
          <w:sz w:val="22"/>
          <w:szCs w:val="22"/>
        </w:rPr>
        <w:t xml:space="preserve">Capa 1 — Extracción directa: </w:t>
      </w:r>
      <w:r>
        <w:rPr>
          <w:rFonts w:ascii="Arial" w:cs="Arial" w:eastAsia="Arial" w:hAnsi="Arial"/>
          <w:sz w:val="22"/>
          <w:szCs w:val="22"/>
        </w:rPr>
        <w:t xml:space="preserve">Fuentes estables con CSV/ZIP accesibles por HTTP (SENASICA hatos libres, DGE 2015-2017).</w:t>
      </w:r>
    </w:p>
    <w:p>
      <w:pPr>
        <w:spacing w:after="120" w:before="60" w:line="360" w:lineRule="auto"/>
        <w:jc w:val="both"/>
      </w:pPr>
      <w:r>
        <w:rPr>
          <w:rFonts w:ascii="Arial" w:cs="Arial" w:eastAsia="Arial" w:hAnsi="Arial"/>
          <w:b/>
          <w:bCs/>
          <w:sz w:val="22"/>
          <w:szCs w:val="22"/>
        </w:rPr>
        <w:t xml:space="preserve">Capa 2 — Parsing de PDFs: </w:t>
      </w:r>
      <w:r>
        <w:rPr>
          <w:rFonts w:ascii="Arial" w:cs="Arial" w:eastAsia="Arial" w:hAnsi="Arial"/>
          <w:sz w:val="22"/>
          <w:szCs w:val="22"/>
        </w:rPr>
        <w:t xml:space="preserve">Reportes trimestrales SENASICA, anuarios DGE 2018-2024 y resoluciones COFEPRIS procesados con pdfplumber.</w:t>
      </w:r>
    </w:p>
    <w:p>
      <w:pPr>
        <w:spacing w:after="120" w:before="60" w:line="360" w:lineRule="auto"/>
        <w:jc w:val="both"/>
      </w:pPr>
      <w:r>
        <w:rPr>
          <w:rFonts w:ascii="Arial" w:cs="Arial" w:eastAsia="Arial" w:hAnsi="Arial"/>
          <w:b/>
          <w:bCs/>
          <w:sz w:val="22"/>
          <w:szCs w:val="22"/>
        </w:rPr>
        <w:t xml:space="preserve">Capa 3 — Navegador automatizado: </w:t>
      </w:r>
      <w:r>
        <w:rPr>
          <w:rFonts w:ascii="Arial" w:cs="Arial" w:eastAsia="Arial" w:hAnsi="Arial"/>
          <w:sz w:val="22"/>
          <w:szCs w:val="22"/>
        </w:rPr>
        <w:t xml:space="preserve">Dashboard interactivo openFMD (R/Shiny) y servidores inestables UNAM, automatizados con Playwright.</w:t>
      </w:r>
    </w:p>
    <w:p>
      <w:pPr>
        <w:pStyle w:val="Heading2"/>
        <w:spacing w:after="100" w:before="200"/>
      </w:pPr>
      <w:r>
        <w:rPr>
          <w:rFonts w:ascii="Arial" w:cs="Arial" w:eastAsia="Arial" w:hAnsi="Arial"/>
          <w:b/>
          <w:bCs/>
          <w:color w:val="1A1A2E"/>
          <w:sz w:val="28"/>
          <w:szCs w:val="28"/>
        </w:rPr>
        <w:t xml:space="preserve">2.3 Inventario de Datasets Recuperados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700"/>
        <w:gridCol w:w="1400"/>
        <w:gridCol w:w="2326"/>
      </w:tblGrid>
      <w:tr>
        <w:tc>
          <w:tcPr>
            <w:tcW w:type="dxa" w:w="24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Archivo</w:t>
            </w:r>
          </w:p>
        </w:tc>
        <w:tc>
          <w:tcPr>
            <w:tcW w:type="dxa" w:w="7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Filas</w:t>
            </w:r>
          </w:p>
        </w:tc>
        <w:tc>
          <w:tcPr>
            <w:tcW w:type="dxa" w:w="14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c>
          <w:tcPr>
            <w:tcW w:type="dxa" w:w="23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SENASICA TB (hatos libres)</w:t>
            </w:r>
          </w:p>
        </w:tc>
        <w:tc>
          <w:tcPr>
            <w:tcW w:type="dxa" w:w="2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senasica_tb_clean.csv</w:t>
            </w:r>
          </w:p>
        </w:tc>
        <w:tc>
          <w:tcPr>
            <w:tcW w:type="dxa" w:w="7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64</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CSV directo</w:t>
            </w:r>
          </w:p>
        </w:tc>
        <w:tc>
          <w:tcPr>
            <w:tcW w:type="dxa" w:w="2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 32 estados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SENASICA Cuarentenas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senasica_cuarentenas_clean.csv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parsing</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 trimestres</w:t>
            </w:r>
          </w:p>
        </w:tc>
      </w:tr>
      <w:tr>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DGE Morbilidad Estatal 2015-2017</w:t>
            </w:r>
          </w:p>
        </w:tc>
        <w:tc>
          <w:tcPr>
            <w:tcW w:type="dxa" w:w="2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dge_morbilidad_clean.csv</w:t>
            </w:r>
          </w:p>
        </w:tc>
        <w:tc>
          <w:tcPr>
            <w:tcW w:type="dxa" w:w="7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384</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ZIP → CSV</w:t>
            </w:r>
          </w:p>
        </w:tc>
        <w:tc>
          <w:tcPr>
            <w:tcW w:type="dxa" w:w="2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DGE Morbilidad Nacional 2018-2024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dge_morbilidad_2018_2024_clean.csv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parsing</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DGE Consolidado 2015-2024</w:t>
            </w:r>
          </w:p>
        </w:tc>
        <w:tc>
          <w:tcPr>
            <w:tcW w:type="dxa" w:w="2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dge_morbilidad_nacional_2015_2024_clean.csv</w:t>
            </w:r>
          </w:p>
        </w:tc>
        <w:tc>
          <w:tcPr>
            <w:tcW w:type="dxa" w:w="7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Unión</w:t>
            </w:r>
          </w:p>
        </w:tc>
        <w:tc>
          <w:tcPr>
            <w:tcW w:type="dxa" w:w="2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 Serie 10 años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openFMD Global (WRLFMD)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openfmd_clean.csv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28,585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Playwright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103 países</w:t>
            </w:r>
          </w:p>
        </w:tc>
      </w:tr>
      <w:tr>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COFEPRIS Sanciones</w:t>
            </w:r>
          </w:p>
        </w:tc>
        <w:tc>
          <w:tcPr>
            <w:tcW w:type="dxa" w:w="2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cofepris_clausuras_alimentarias_clean.csv</w:t>
            </w:r>
          </w:p>
        </w:tc>
        <w:tc>
          <w:tcPr>
            <w:tcW w:type="dxa" w:w="7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PDF parsing</w:t>
            </w:r>
          </w:p>
        </w:tc>
        <w:tc>
          <w:tcPr>
            <w:tcW w:type="dxa" w:w="2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 7 empresas</w:t>
            </w:r>
          </w:p>
        </w:tc>
      </w:tr>
    </w:tbl>
    <w:p>
      <w:pPr>
        <w:spacing w:after="120" w:before="0"/>
      </w:pPr>
    </w:p>
    <w:p>
      <w:pPr>
        <w:spacing w:after="120" w:before="60" w:line="360" w:lineRule="auto"/>
        <w:jc w:val="both"/>
      </w:pPr>
      <w:r>
        <w:rPr>
          <w:rFonts w:ascii="Arial" w:cs="Arial" w:eastAsia="Arial" w:hAnsi="Arial"/>
          <w:b/>
          <w:bCs/>
          <w:sz w:val="22"/>
          <w:szCs w:val="22"/>
        </w:rPr>
        <w:t xml:space="preserve">Total: </w:t>
      </w:r>
      <w:r>
        <w:rPr>
          <w:rFonts w:ascii="Arial" w:cs="Arial" w:eastAsia="Arial" w:hAnsi="Arial"/>
          <w:sz w:val="22"/>
          <w:szCs w:val="22"/>
        </w:rPr>
        <w:t xml:space="preserve">~29,200 registros limpios desde 6 fuentes distintas.</w:t>
      </w:r>
    </w:p>
    <w:p>
      <w:pPr>
        <w:pStyle w:val="Heading2"/>
        <w:spacing w:after="100" w:before="200"/>
      </w:pPr>
      <w:r>
        <w:rPr>
          <w:rFonts w:ascii="Arial" w:cs="Arial" w:eastAsia="Arial" w:hAnsi="Arial"/>
          <w:b/>
          <w:bCs/>
          <w:color w:val="1A1A2E"/>
          <w:sz w:val="28"/>
          <w:szCs w:val="28"/>
        </w:rPr>
        <w:t xml:space="preserve">2.4 Data Warehouse: Transformación CSV→JSON con Pydantic</w:t>
      </w:r>
    </w:p>
    <w:p>
      <w:pPr>
        <w:spacing w:after="120" w:before="60" w:line="360" w:lineRule="auto"/>
        <w:jc w:val="both"/>
      </w:pPr>
      <w:r>
        <w:rPr>
          <w:rFonts w:ascii="Arial" w:cs="Arial" w:eastAsia="Arial" w:hAnsi="Arial"/>
          <w:b/>
          <w:bCs/>
          <w:sz w:val="22"/>
          <w:szCs w:val="22"/>
        </w:rPr>
        <w:t xml:space="preserve">Código: </w:t>
      </w:r>
      <w:r>
        <w:rPr>
          <w:rFonts w:ascii="Arial" w:cs="Arial" w:eastAsia="Arial" w:hAnsi="Arial"/>
          <w:sz w:val="22"/>
          <w:szCs w:val="22"/>
        </w:rPr>
        <w:t xml:space="preserve">src/warehouse/csv_to_json.py — Aporte del Miembro 1 del equipo (Axel).</w:t>
      </w:r>
    </w:p>
    <w:p>
      <w:pPr>
        <w:spacing w:after="120" w:before="60" w:line="360" w:lineRule="auto"/>
        <w:jc w:val="both"/>
      </w:pPr>
      <w:r>
        <w:rPr>
          <w:rFonts w:ascii="Arial" w:cs="Arial" w:eastAsia="Arial" w:hAnsi="Arial"/>
          <w:sz w:val="22"/>
          <w:szCs w:val="22"/>
        </w:rPr>
        <w:t xml:space="preserve">Se implementó un script de transformación que convierte los datos tabulares de cuarentenas (CSV) a un formato JSON jerárquico optimizado para MongoDB, utilizando Pydantic como capa de validación de tipos.</w:t>
      </w:r>
    </w:p>
    <w:p>
      <w:pPr>
        <w:spacing w:after="120" w:before="60" w:line="360" w:lineRule="auto"/>
        <w:jc w:val="both"/>
      </w:pPr>
      <w:r>
        <w:rPr>
          <w:rFonts w:ascii="Arial" w:cs="Arial" w:eastAsia="Arial" w:hAnsi="Arial"/>
          <w:sz w:val="22"/>
          <w:szCs w:val="22"/>
        </w:rPr>
        <w:t xml:space="preserve">El modelo CuarentenaRecord valida campos: estado (str), num_animales (int), trimestre (int), num_hatos_cuarentena (int), anio (int). Si un dato del CSV viene mal formado, el sistema lanza un error antes de contaminar la base de datos NoSQL. Los datos se agrupan jerárquicamente por Estado → Trimestre.</w:t>
      </w:r>
    </w:p>
    <w:p>
      <w:pPr>
        <w:pStyle w:val="Heading1"/>
        <w:pageBreakBefore/>
        <w:spacing w:after="160" w:before="200"/>
      </w:pPr>
      <w:r>
        <w:rPr>
          <w:rFonts w:ascii="Arial" w:cs="Arial" w:eastAsia="Arial" w:hAnsi="Arial"/>
          <w:b/>
          <w:bCs/>
          <w:color w:val="9C223F"/>
          <w:sz w:val="36"/>
          <w:szCs w:val="36"/>
        </w:rPr>
        <w:t xml:space="preserve">3. Hallazgos del Análisis Exploratorio (EDA)</w:t>
      </w:r>
    </w:p>
    <w:p>
      <w:pPr>
        <w:spacing w:after="120" w:before="60" w:line="360" w:lineRule="auto"/>
        <w:jc w:val="both"/>
      </w:pPr>
      <w:r>
        <w:rPr>
          <w:rFonts w:ascii="Arial" w:cs="Arial" w:eastAsia="Arial" w:hAnsi="Arial"/>
          <w:b/>
          <w:bCs/>
          <w:sz w:val="22"/>
          <w:szCs w:val="22"/>
        </w:rPr>
        <w:t xml:space="preserve">Notebook de referencia: </w:t>
      </w:r>
      <w:r>
        <w:rPr>
          <w:rFonts w:ascii="Arial" w:cs="Arial" w:eastAsia="Arial" w:hAnsi="Arial"/>
          <w:sz w:val="22"/>
          <w:szCs w:val="22"/>
        </w:rPr>
        <w:t xml:space="preserve">notebooks/01_eda_global.ipynb</w:t>
      </w:r>
    </w:p>
    <w:p>
      <w:pPr>
        <w:pStyle w:val="Heading2"/>
        <w:spacing w:after="100" w:before="200"/>
      </w:pPr>
      <w:r>
        <w:rPr>
          <w:rFonts w:ascii="Arial" w:cs="Arial" w:eastAsia="Arial" w:hAnsi="Arial"/>
          <w:b/>
          <w:bCs/>
          <w:color w:val="1A1A2E"/>
          <w:sz w:val="28"/>
          <w:szCs w:val="28"/>
        </w:rPr>
        <w:t xml:space="preserve">3.1 COVID-19 validó la hipótesis de canales de venta</w:t>
      </w:r>
    </w:p>
    <w:p>
      <w:pPr>
        <w:spacing w:after="120" w:before="60" w:line="360" w:lineRule="auto"/>
        <w:jc w:val="both"/>
      </w:pPr>
      <w:r>
        <w:rPr>
          <w:rFonts w:ascii="Arial" w:cs="Arial" w:eastAsia="Arial" w:hAnsi="Arial"/>
          <w:sz w:val="22"/>
          <w:szCs w:val="22"/>
        </w:rPr>
        <w:t xml:space="preserve">La serie temporal DGE 2015-2024 revela una anomalía natural que funciona como grupo de control involuntario: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c>
          <w:tcPr>
            <w:tcW w:type="dxa" w:w="18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Año</w:t>
            </w:r>
          </w:p>
        </w:tc>
        <w:tc>
          <w:tcPr>
            <w:tcW w:type="dxa" w:w="38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Intoxicaciones Alimentarias (A05)</w:t>
            </w:r>
          </w:p>
        </w:tc>
        <w:tc>
          <w:tcPr>
            <w:tcW w:type="dxa" w:w="34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Tuberculosis (A15-A19)</w:t>
            </w:r>
          </w:p>
        </w:tc>
      </w:tr>
      <w:tr>
        <w:tc>
          <w:tcPr>
            <w:tcW w:type="dxa" w:w="1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2019</w:t>
            </w:r>
          </w:p>
        </w:tc>
        <w:tc>
          <w:tcPr>
            <w:tcW w:type="dxa" w:w="3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31,916</w:t>
            </w:r>
          </w:p>
        </w:tc>
        <w:tc>
          <w:tcPr>
            <w:tcW w:type="dxa" w:w="34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22,283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18,667 (−41.5%)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16,747 (−24.8%)</w:t>
            </w:r>
          </w:p>
        </w:tc>
      </w:tr>
      <w:tr>
        <w:tc>
          <w:tcPr>
            <w:tcW w:type="dxa" w:w="1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2024</w:t>
            </w:r>
          </w:p>
        </w:tc>
        <w:tc>
          <w:tcPr>
            <w:tcW w:type="dxa" w:w="3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25,259</w:t>
            </w:r>
          </w:p>
        </w:tc>
        <w:tc>
          <w:tcPr>
            <w:tcW w:type="dxa" w:w="34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25,980</w:t>
            </w:r>
          </w:p>
        </w:tc>
      </w:tr>
    </w:tbl>
    <w:p>
      <w:pPr>
        <w:spacing w:after="80" w:before="0"/>
      </w:pPr>
    </w:p>
    <w:p>
      <w:pPr>
        <w:spacing w:after="120" w:before="60" w:line="360" w:lineRule="auto"/>
        <w:jc w:val="both"/>
      </w:pPr>
      <w:r>
        <w:rPr>
          <w:rFonts w:ascii="Arial" w:cs="Arial" w:eastAsia="Arial" w:hAnsi="Arial"/>
          <w:sz w:val="22"/>
          <w:szCs w:val="22"/>
        </w:rPr>
        <w:t xml:space="preserve">Cuando México cerró tianguis, mercados informales y cadenas de comida callejera durante 2020, las intoxicaciones alimentarias colapsaron un 41.5%. La tuberculosis cayó solo un 24.8% (transmisión respiratoria). Esto demuestra que los canales de venta informales son el vector primario de contagio alimentario.</w:t>
      </w:r>
    </w:p>
    <w:p>
      <w:pPr>
        <w:spacing w:after="120" w:before="120"/>
        <w:jc w:val="center"/>
      </w:pPr>
      <w:r>
        <w:drawing>
          <wp:inline distT="0" distB="0" distL="0" distR="0">
            <wp:extent cx="4251960" cy="2606040"/>
            <wp:effectExtent t="0" r="0" b="0" l="0"/>
            <wp:docPr id="1" name="dge_tendencia_temporal.png" descr="dge_tendencia_temporal.png" title="dge_tendencia_tempo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51960" cy="260604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1. Serie temporal DGE 2015-2024 con banda COVID-19.</w:t>
      </w:r>
    </w:p>
    <w:p>
      <w:pPr>
        <w:pStyle w:val="Heading2"/>
        <w:spacing w:after="100" w:before="200"/>
      </w:pPr>
      <w:r>
        <w:rPr>
          <w:rFonts w:ascii="Arial" w:cs="Arial" w:eastAsia="Arial" w:hAnsi="Arial"/>
          <w:b/>
          <w:bCs/>
          <w:color w:val="1A1A2E"/>
          <w:sz w:val="28"/>
          <w:szCs w:val="28"/>
        </w:rPr>
        <w:t xml:space="preserve">3.2 Cobertura del programa TB Bovina: Solo el 1.2%</w:t>
      </w:r>
    </w:p>
    <w:p>
      <w:pPr>
        <w:spacing w:after="120" w:before="60" w:line="360" w:lineRule="auto"/>
        <w:jc w:val="both"/>
      </w:pPr>
      <w:r>
        <w:rPr>
          <w:rFonts w:ascii="Arial" w:cs="Arial" w:eastAsia="Arial" w:hAnsi="Arial"/>
          <w:sz w:val="22"/>
          <w:szCs w:val="22"/>
        </w:rPr>
        <w:t xml:space="preserve">El programa SENASICA ha certificado 420,171 bovinos como libres de tuberculosis, de una biomasa nacional de 35,100,000. Cobertura: 1.20%. El 98.8% del hato opera en oscuridad estadística.</w:t>
      </w:r>
    </w:p>
    <w:p>
      <w:pPr>
        <w:spacing w:after="120" w:before="120"/>
        <w:jc w:val="center"/>
      </w:pPr>
      <w:r>
        <w:drawing>
          <wp:inline distT="0" distB="0" distL="0" distR="0">
            <wp:extent cx="4251960" cy="2606040"/>
            <wp:effectExtent t="0" r="0" b="0" l="0"/>
            <wp:docPr id="1" name="senasica_hatos_libres.png" descr="senasica_hatos_libres.png" title="senasica_hatos_lib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51960" cy="260604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2. Top 15 estados por bovinos certificados libres de TB.</w:t>
      </w:r>
    </w:p>
    <w:p>
      <w:pPr>
        <w:pStyle w:val="Heading2"/>
        <w:spacing w:after="100" w:before="200"/>
      </w:pPr>
      <w:r>
        <w:rPr>
          <w:rFonts w:ascii="Arial" w:cs="Arial" w:eastAsia="Arial" w:hAnsi="Arial"/>
          <w:b/>
          <w:bCs/>
          <w:color w:val="1A1A2E"/>
          <w:sz w:val="28"/>
          <w:szCs w:val="28"/>
        </w:rPr>
        <w:t xml:space="preserve">3.3 Cuarentenas SENASICA 2024: Jalisco concentra el 66.6%</w:t>
      </w:r>
    </w:p>
    <w:p>
      <w:pPr>
        <w:spacing w:after="120" w:before="60" w:line="360" w:lineRule="auto"/>
        <w:jc w:val="both"/>
      </w:pPr>
      <w:r>
        <w:rPr>
          <w:rFonts w:ascii="Arial" w:cs="Arial" w:eastAsia="Arial" w:hAnsi="Arial"/>
          <w:sz w:val="22"/>
          <w:szCs w:val="22"/>
        </w:rPr>
        <w:t xml:space="preserve">27 de 32 estados tienen hatos bajo cuarentena activa: 856 hatos y 7,558 animales afectados. Jalisco concentra el 66.6% de los animales afectados (5,035) con solo el 15.8% de los hatos, sugiriendo concentración en unidades de producción grandes.</w:t>
      </w:r>
    </w:p>
    <w:p>
      <w:pPr>
        <w:spacing w:after="120" w:before="120"/>
        <w:jc w:val="center"/>
      </w:pPr>
      <w:r>
        <w:drawing>
          <wp:inline distT="0" distB="0" distL="0" distR="0">
            <wp:extent cx="4251960" cy="2606040"/>
            <wp:effectExtent t="0" r="0" b="0" l="0"/>
            <wp:docPr id="1" name="senasica_cuarentenas_estado.png" descr="senasica_cuarentenas_estado.png" title="senasica_cuarentenas_e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51960" cy="260604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3. Hatos y animales cuarentenados por estado (SENASICA 2024).</w:t>
      </w:r>
    </w:p>
    <w:p>
      <w:pPr>
        <w:pStyle w:val="Heading2"/>
        <w:spacing w:after="100" w:before="200"/>
      </w:pPr>
      <w:r>
        <w:rPr>
          <w:rFonts w:ascii="Arial" w:cs="Arial" w:eastAsia="Arial" w:hAnsi="Arial"/>
          <w:b/>
          <w:bCs/>
          <w:color w:val="1A1A2E"/>
          <w:sz w:val="28"/>
          <w:szCs w:val="28"/>
        </w:rPr>
        <w:t xml:space="preserve">3.4 Las Américas: Inmunológicamente vírgenes a FMD</w:t>
      </w:r>
    </w:p>
    <w:p>
      <w:pPr>
        <w:spacing w:after="120" w:before="60" w:line="360" w:lineRule="auto"/>
        <w:jc w:val="both"/>
      </w:pPr>
      <w:r>
        <w:rPr>
          <w:rFonts w:ascii="Arial" w:cs="Arial" w:eastAsia="Arial" w:hAnsi="Arial"/>
          <w:sz w:val="22"/>
          <w:szCs w:val="22"/>
        </w:rPr>
        <w:t xml:space="preserve">De 16,540 eventos FMD positivos globalmente (2000-2025), las Américas representan solo el 2.7%. México, libre desde 1954, tiene una biomasa 100% susceptible.</w:t>
      </w:r>
    </w:p>
    <w:p>
      <w:pPr>
        <w:spacing w:after="120" w:before="120"/>
        <w:jc w:val="center"/>
      </w:pPr>
      <w:r>
        <w:drawing>
          <wp:inline distT="0" distB="0" distL="0" distR="0">
            <wp:extent cx="4251960" cy="2606040"/>
            <wp:effectExtent t="0" r="0" b="0" l="0"/>
            <wp:docPr id="1" name="openfmd_region_serotipos.png" descr="openfmd_region_serotipos.png" title="openfmd_region_seroti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51960" cy="260604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4. Distribución global de brotes FMD por región y serotipo.</w:t>
      </w:r>
    </w:p>
    <w:p>
      <w:pPr>
        <w:pStyle w:val="Heading2"/>
        <w:spacing w:after="100" w:before="200"/>
      </w:pPr>
      <w:r>
        <w:rPr>
          <w:rFonts w:ascii="Arial" w:cs="Arial" w:eastAsia="Arial" w:hAnsi="Arial"/>
          <w:b/>
          <w:bCs/>
          <w:color w:val="1A1A2E"/>
          <w:sz w:val="28"/>
          <w:szCs w:val="28"/>
        </w:rPr>
        <w:t xml:space="preserve">3.5 Serotipo O domina el 55% de las epidemias globales</w:t>
      </w:r>
    </w:p>
    <w:p>
      <w:pPr>
        <w:spacing w:after="120" w:before="60" w:line="360" w:lineRule="auto"/>
        <w:jc w:val="both"/>
      </w:pPr>
      <w:r>
        <w:rPr>
          <w:rFonts w:ascii="Arial" w:cs="Arial" w:eastAsia="Arial" w:hAnsi="Arial"/>
          <w:sz w:val="22"/>
          <w:szCs w:val="22"/>
        </w:rPr>
        <w:t xml:space="preserve">El serotipo O (9,072 eventos, 54.9% del total) es el mismo que devastó al Reino Unido en 2001. Esto parametriza nuestro modelo SIR con R₀ = 6.0.</w:t>
      </w:r>
    </w:p>
    <w:p>
      <w:pPr>
        <w:spacing w:after="120" w:before="120"/>
        <w:jc w:val="center"/>
      </w:pPr>
      <w:r>
        <w:drawing>
          <wp:inline distT="0" distB="0" distL="0" distR="0">
            <wp:extent cx="3086100" cy="2400300"/>
            <wp:effectExtent t="0" r="0" b="0" l="0"/>
            <wp:docPr id="1" name="openfmd_serotipos_pie.png" descr="openfmd_serotipos_pie.png" title="openfmd_serotipos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86100" cy="24003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5. Distribución de serotipos FMD a nivel global.</w:t>
      </w:r>
    </w:p>
    <w:p>
      <w:pPr>
        <w:pStyle w:val="Heading2"/>
        <w:spacing w:after="100" w:before="200"/>
      </w:pPr>
      <w:r>
        <w:rPr>
          <w:rFonts w:ascii="Arial" w:cs="Arial" w:eastAsia="Arial" w:hAnsi="Arial"/>
          <w:b/>
          <w:bCs/>
          <w:color w:val="1A1A2E"/>
          <w:sz w:val="28"/>
          <w:szCs w:val="28"/>
        </w:rPr>
        <w:t xml:space="preserve">3.6 Opacidad regulatoria como indicador de riesgo</w:t>
      </w:r>
    </w:p>
    <w:p>
      <w:pPr>
        <w:spacing w:after="120" w:before="60" w:line="360" w:lineRule="auto"/>
        <w:jc w:val="both"/>
      </w:pPr>
      <w:r>
        <w:rPr>
          <w:rFonts w:ascii="Arial" w:cs="Arial" w:eastAsia="Arial" w:hAnsi="Arial"/>
          <w:sz w:val="22"/>
          <w:szCs w:val="22"/>
        </w:rPr>
        <w:t xml:space="preserve">COFEPRIS no publica datos granulares sobre clausuras alimentarias con detalle de contaminantes. Se recuperaron 12 procedimientos de sanción, de los cuales 7 son explícitamente cárnicas. Si las empresas más grandes del sector no escapan sanciones, la cadena informal opera en un vacío de vigilancia total.</w:t>
      </w:r>
    </w:p>
    <w:p>
      <w:pPr>
        <w:pStyle w:val="Heading1"/>
        <w:pageBreakBefore/>
        <w:spacing w:after="160" w:before="200"/>
      </w:pPr>
      <w:r>
        <w:rPr>
          <w:rFonts w:ascii="Arial" w:cs="Arial" w:eastAsia="Arial" w:hAnsi="Arial"/>
          <w:b/>
          <w:bCs/>
          <w:color w:val="9C223F"/>
          <w:sz w:val="36"/>
          <w:szCs w:val="36"/>
        </w:rPr>
        <w:t xml:space="preserve">4. Análisis Estadístico del Equipo</w:t>
      </w:r>
    </w:p>
    <w:p>
      <w:pPr>
        <w:pStyle w:val="Heading2"/>
        <w:spacing w:after="100" w:before="200"/>
      </w:pPr>
      <w:r>
        <w:rPr>
          <w:rFonts w:ascii="Arial" w:cs="Arial" w:eastAsia="Arial" w:hAnsi="Arial"/>
          <w:b/>
          <w:bCs/>
          <w:color w:val="1A1A2E"/>
          <w:sz w:val="28"/>
          <w:szCs w:val="28"/>
        </w:rPr>
        <w:t xml:space="preserve">4.1 Análisis Descriptivo: Top 5 Países FMD en África</w:t>
      </w:r>
    </w:p>
    <w:p>
      <w:pPr>
        <w:spacing w:after="120" w:before="60" w:line="360" w:lineRule="auto"/>
        <w:jc w:val="both"/>
      </w:pPr>
      <w:r>
        <w:rPr>
          <w:rFonts w:ascii="Arial" w:cs="Arial" w:eastAsia="Arial" w:hAnsi="Arial"/>
          <w:b/>
          <w:bCs/>
          <w:sz w:val="22"/>
          <w:szCs w:val="22"/>
        </w:rPr>
        <w:t xml:space="preserve">Notebook: </w:t>
      </w:r>
      <w:r>
        <w:rPr>
          <w:rFonts w:ascii="Arial" w:cs="Arial" w:eastAsia="Arial" w:hAnsi="Arial"/>
          <w:sz w:val="22"/>
          <w:szCs w:val="22"/>
        </w:rPr>
        <w:t xml:space="preserve">notebooks/02_analisis_descriptivo.ipynb — Aporte de la Miembro 2 del equipo (Victoria).</w:t>
      </w:r>
    </w:p>
    <w:p>
      <w:pPr>
        <w:spacing w:after="120" w:before="60" w:line="360" w:lineRule="auto"/>
        <w:jc w:val="both"/>
      </w:pPr>
      <w:r>
        <w:rPr>
          <w:rFonts w:ascii="Arial" w:cs="Arial" w:eastAsia="Arial" w:hAnsi="Arial"/>
          <w:sz w:val="22"/>
          <w:szCs w:val="22"/>
        </w:rPr>
        <w:t xml:space="preserve">Se filtraron 10,606 eventos FMD positivos confirmados en la región africana (2000-2025) del dataset openFMD, aplicando técnicas de Data Binning por décadas y generando estadísticas descriptivas.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26"/>
      </w:tblGrid>
      <w:tr>
        <w:tc>
          <w:tcPr>
            <w:tcW w:type="dxa" w:w="8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País</w:t>
            </w:r>
          </w:p>
        </w:tc>
        <w:tc>
          <w:tcPr>
            <w:tcW w:type="dxa" w:w="40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Brotes FMD Confirmados</w:t>
            </w:r>
          </w:p>
        </w:tc>
      </w:tr>
      <w:tr>
        <w:tc>
          <w:tcPr>
            <w:tcW w:type="dxa" w:w="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Algeria</w:t>
            </w:r>
          </w:p>
        </w:tc>
        <w:tc>
          <w:tcPr>
            <w:tcW w:type="dxa" w:w="40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1,308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Zimbabwe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1,061</w:t>
            </w:r>
          </w:p>
        </w:tc>
      </w:tr>
      <w:tr>
        <w:tc>
          <w:tcPr>
            <w:tcW w:type="dxa" w:w="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Sudáfrica</w:t>
            </w:r>
          </w:p>
        </w:tc>
        <w:tc>
          <w:tcPr>
            <w:tcW w:type="dxa" w:w="40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971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Kenya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914</w:t>
            </w:r>
          </w:p>
        </w:tc>
      </w:tr>
      <w:tr>
        <w:tc>
          <w:tcPr>
            <w:tcW w:type="dxa" w:w="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Egipto</w:t>
            </w:r>
          </w:p>
        </w:tc>
        <w:tc>
          <w:tcPr>
            <w:tcW w:type="dxa" w:w="40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765</w:t>
            </w:r>
          </w:p>
        </w:tc>
      </w:tr>
    </w:tbl>
    <w:p>
      <w:pPr>
        <w:spacing w:after="120" w:before="0"/>
      </w:pPr>
    </w:p>
    <w:p>
      <w:pPr>
        <w:spacing w:after="120" w:before="60" w:line="360" w:lineRule="auto"/>
        <w:jc w:val="both"/>
      </w:pPr>
      <w:r>
        <w:rPr>
          <w:rFonts w:ascii="Arial" w:cs="Arial" w:eastAsia="Arial" w:hAnsi="Arial"/>
          <w:b/>
          <w:bCs/>
          <w:sz w:val="22"/>
          <w:szCs w:val="22"/>
        </w:rPr>
        <w:t xml:space="preserve">Data Binning por Décadas: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Década</w:t>
            </w:r>
          </w:p>
        </w:tc>
        <w:tc>
          <w:tcPr>
            <w:tcW w:type="dxa" w:w="45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Brotes en África</w:t>
            </w:r>
          </w:p>
        </w:tc>
      </w:tr>
      <w:tr>
        <w:tc>
          <w:tcPr>
            <w:tcW w:type="dxa" w:w="45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2000s</w:t>
            </w:r>
          </w:p>
        </w:tc>
        <w:tc>
          <w:tcPr>
            <w:tcW w:type="dxa" w:w="45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1,208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2010s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3,154</w:t>
            </w:r>
          </w:p>
        </w:tc>
      </w:tr>
      <w:tr>
        <w:tc>
          <w:tcPr>
            <w:tcW w:type="dxa" w:w="45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2020s</w:t>
            </w:r>
          </w:p>
        </w:tc>
        <w:tc>
          <w:tcPr>
            <w:tcW w:type="dxa" w:w="45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762</w:t>
            </w:r>
          </w:p>
        </w:tc>
      </w:tr>
    </w:tbl>
    <w:p>
      <w:pPr>
        <w:spacing w:after="80" w:before="0"/>
      </w:pPr>
    </w:p>
    <w:p>
      <w:pPr>
        <w:spacing w:after="120" w:before="60" w:line="360" w:lineRule="auto"/>
        <w:jc w:val="both"/>
      </w:pPr>
      <w:r>
        <w:rPr>
          <w:rFonts w:ascii="Arial" w:cs="Arial" w:eastAsia="Arial" w:hAnsi="Arial"/>
          <w:b/>
          <w:bCs/>
          <w:sz w:val="22"/>
          <w:szCs w:val="22"/>
        </w:rPr>
        <w:t xml:space="preserve">Hallazgo clave: </w:t>
      </w:r>
      <w:r>
        <w:rPr>
          <w:rFonts w:ascii="Arial" w:cs="Arial" w:eastAsia="Arial" w:hAnsi="Arial"/>
          <w:sz w:val="22"/>
          <w:szCs w:val="22"/>
        </w:rPr>
        <w:t xml:space="preserve">Los brotes en la década de los 2010s fueron 2.6 veces mayores que en los 2000s. La aparente caída en los 2020s responde al fenómeno de Right-Censoring (rezago de reporte del WRLFMD), no a una mejora epidemiológica real.</w:t>
      </w:r>
    </w:p>
    <w:p>
      <w:pPr>
        <w:spacing w:after="120" w:before="120"/>
        <w:jc w:val="center"/>
      </w:pPr>
      <w:r>
        <w:drawing>
          <wp:inline distT="0" distB="0" distL="0" distR="0">
            <wp:extent cx="4251960" cy="2606040"/>
            <wp:effectExtent t="0" r="0" b="0" l="0"/>
            <wp:docPr id="1" name="top5_africa_fmd.png" descr="top5_africa_fmd.png" title="top5_africa_f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51960" cy="260604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6. Top 5 países de África con mayor incidencia de Fiebre Aftosa (2000-2025).</w:t>
      </w:r>
    </w:p>
    <w:p>
      <w:pPr>
        <w:pStyle w:val="Heading2"/>
        <w:spacing w:after="100" w:before="200"/>
      </w:pPr>
      <w:r>
        <w:rPr>
          <w:rFonts w:ascii="Arial" w:cs="Arial" w:eastAsia="Arial" w:hAnsi="Arial"/>
          <w:b/>
          <w:bCs/>
          <w:color w:val="1A1A2E"/>
          <w:sz w:val="28"/>
          <w:szCs w:val="28"/>
        </w:rPr>
        <w:t xml:space="preserve">4.2 Análisis Inferencial: Correlación Zoonótica y ANOVA</w:t>
      </w:r>
    </w:p>
    <w:p>
      <w:pPr>
        <w:spacing w:after="120" w:before="60" w:line="360" w:lineRule="auto"/>
        <w:jc w:val="both"/>
      </w:pPr>
      <w:r>
        <w:rPr>
          <w:rFonts w:ascii="Arial" w:cs="Arial" w:eastAsia="Arial" w:hAnsi="Arial"/>
          <w:b/>
          <w:bCs/>
          <w:sz w:val="22"/>
          <w:szCs w:val="22"/>
        </w:rPr>
        <w:t xml:space="preserve">Notebook: </w:t>
      </w:r>
      <w:r>
        <w:rPr>
          <w:rFonts w:ascii="Arial" w:cs="Arial" w:eastAsia="Arial" w:hAnsi="Arial"/>
          <w:sz w:val="22"/>
          <w:szCs w:val="22"/>
        </w:rPr>
        <w:t xml:space="preserve">notebooks/03_analisis_inferencial.ipynb — Aporte de la Miembro 2 del equipo (Victoria).</w:t>
      </w:r>
    </w:p>
    <w:p>
      <w:pPr>
        <w:spacing w:after="120" w:before="60" w:line="360" w:lineRule="auto"/>
        <w:jc w:val="both"/>
      </w:pPr>
      <w:r>
        <w:rPr>
          <w:rFonts w:ascii="Arial" w:cs="Arial" w:eastAsia="Arial" w:hAnsi="Arial"/>
          <w:sz w:val="22"/>
          <w:szCs w:val="22"/>
        </w:rPr>
        <w:t xml:space="preserve">Se realizaron dos pruebas inferenciales:</w:t>
      </w:r>
    </w:p>
    <w:p>
      <w:pPr>
        <w:pStyle w:val="Heading3"/>
        <w:spacing w:after="80" w:before="160"/>
      </w:pPr>
      <w:r>
        <w:rPr>
          <w:rFonts w:ascii="Arial" w:cs="Arial" w:eastAsia="Arial" w:hAnsi="Arial"/>
          <w:b/>
          <w:bCs/>
          <w:color w:val="9C223F"/>
          <w:sz w:val="24"/>
          <w:szCs w:val="24"/>
        </w:rPr>
        <w:t xml:space="preserve">A. Correlación cruzada TB Bovina ↔ TB Humana</w:t>
      </w:r>
    </w:p>
    <w:p>
      <w:pPr>
        <w:spacing w:after="120" w:before="60" w:line="360" w:lineRule="auto"/>
        <w:jc w:val="both"/>
      </w:pPr>
      <w:r>
        <w:rPr>
          <w:rFonts w:ascii="Arial" w:cs="Arial" w:eastAsia="Arial" w:hAnsi="Arial"/>
          <w:sz w:val="22"/>
          <w:szCs w:val="22"/>
        </w:rPr>
        <w:t xml:space="preserve">Se cruzaron los datos de animales en cuarentena por TB bovina (SENASICA, n=26 estados) con los casos acumulados de tuberculosis humana (DGE, CIE-10 A15-A19, 2015-2017).</w:t>
      </w:r>
    </w:p>
    <w:p>
      <w:pPr>
        <w:spacing w:after="40" w:before="0"/>
      </w:pPr>
    </w:p>
    <w:p>
      <w:pPr>
        <w:pStyle w:val="ListParagraph"/>
        <w:numPr>
          <w:ilvl w:val="0"/>
          <w:numId w:val="2"/>
        </w:numPr>
        <w:spacing w:after="60" w:before="40" w:line="320" w:lineRule="auto"/>
        <w:jc w:val="both"/>
      </w:pPr>
      <w:r>
        <w:rPr>
          <w:rFonts w:ascii="Arial" w:cs="Arial" w:eastAsia="Arial" w:hAnsi="Arial"/>
          <w:sz w:val="22"/>
          <w:szCs w:val="22"/>
        </w:rPr>
        <w:t xml:space="preserve">Coeficiente de Pearson: r = 0.222</w:t>
      </w:r>
    </w:p>
    <w:p>
      <w:pPr>
        <w:pStyle w:val="ListParagraph"/>
        <w:numPr>
          <w:ilvl w:val="0"/>
          <w:numId w:val="2"/>
        </w:numPr>
        <w:spacing w:after="60" w:before="40" w:line="320" w:lineRule="auto"/>
        <w:jc w:val="both"/>
      </w:pPr>
      <w:r>
        <w:rPr>
          <w:rFonts w:ascii="Arial" w:cs="Arial" w:eastAsia="Arial" w:hAnsi="Arial"/>
          <w:sz w:val="22"/>
          <w:szCs w:val="22"/>
        </w:rPr>
        <w:t xml:space="preserve">P-value: p = 0.275 (no significativo a α = 0.05)</w:t>
      </w:r>
    </w:p>
    <w:p>
      <w:pPr>
        <w:spacing w:after="40" w:before="0"/>
      </w:pPr>
    </w:p>
    <w:p>
      <w:pPr>
        <w:spacing w:after="120" w:before="60" w:line="360" w:lineRule="auto"/>
        <w:jc w:val="both"/>
      </w:pPr>
      <w:r>
        <w:rPr>
          <w:rFonts w:ascii="Arial" w:cs="Arial" w:eastAsia="Arial" w:hAnsi="Arial"/>
          <w:b/>
          <w:bCs/>
          <w:sz w:val="22"/>
          <w:szCs w:val="22"/>
        </w:rPr>
        <w:t xml:space="preserve">Interpretación: </w:t>
      </w:r>
      <w:r>
        <w:rPr>
          <w:rFonts w:ascii="Arial" w:cs="Arial" w:eastAsia="Arial" w:hAnsi="Arial"/>
          <w:sz w:val="22"/>
          <w:szCs w:val="22"/>
        </w:rPr>
        <w:t xml:space="preserve">La correlación lineal directa entre TB bovina y TB humana a nivel estatal no resultó estadísticamente significativa. Esto no invalida la relación zoonótica, sino que sugiere que la transmisión TB animal→humano opera a través de intermediarios complejos (leche no pasteurizada, contacto directo) que no se capturan con una simple correlación geográfica. Los estados con mayor carga de TB humana (Veracruz: 6,524 casos, Baja California: 6,038) no necesariamente coinciden con los de mayor cuarentena bovina (Jalisco: 5,035 animales), porque la TB humana en México tiene también un fuerte componente de transmisión persona-persona.</w:t>
      </w:r>
    </w:p>
    <w:p>
      <w:pPr>
        <w:spacing w:after="120" w:before="120"/>
        <w:jc w:val="center"/>
      </w:pPr>
      <w:r>
        <w:drawing>
          <wp:inline distT="0" distB="0" distL="0" distR="0">
            <wp:extent cx="3977640" cy="2880360"/>
            <wp:effectExtent t="0" r="0" b="0" l="0"/>
            <wp:docPr id="1" name="correlacion_tb_zoonotica.png" descr="correlacion_tb_zoonotica.png" title="correlacion_tb_zoonot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77640" cy="288036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7. Correlación zoonótica TB Bovina ↔ TB Humana (r = 0.222, p = 0.275).</w:t>
      </w:r>
    </w:p>
    <w:p>
      <w:pPr>
        <w:pStyle w:val="Heading3"/>
        <w:spacing w:after="80" w:before="160"/>
      </w:pPr>
      <w:r>
        <w:rPr>
          <w:rFonts w:ascii="Arial" w:cs="Arial" w:eastAsia="Arial" w:hAnsi="Arial"/>
          <w:b/>
          <w:bCs/>
          <w:color w:val="9C223F"/>
          <w:sz w:val="24"/>
          <w:szCs w:val="24"/>
        </w:rPr>
        <w:t xml:space="preserve">B. ANOVA — Riesgo de Salmonella según canal de venta</w:t>
      </w:r>
    </w:p>
    <w:p>
      <w:pPr>
        <w:spacing w:after="120" w:before="60" w:line="360" w:lineRule="auto"/>
        <w:jc w:val="both"/>
      </w:pPr>
      <w:r>
        <w:rPr>
          <w:rFonts w:ascii="Arial" w:cs="Arial" w:eastAsia="Arial" w:hAnsi="Arial"/>
          <w:sz w:val="22"/>
          <w:szCs w:val="22"/>
        </w:rPr>
        <w:t xml:space="preserve">Se simularon 1,000 muestras por canal utilizando distribuciones binomiales basadas en las prevalencias documentadas en la literatura: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c>
          <w:tcPr>
            <w:tcW w:type="dxa" w:w="32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 de Venta</w:t>
            </w:r>
          </w:p>
        </w:tc>
        <w:tc>
          <w:tcPr>
            <w:tcW w:type="dxa" w:w="30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Prevalencia Esperada</w:t>
            </w:r>
          </w:p>
        </w:tc>
        <w:tc>
          <w:tcPr>
            <w:tcW w:type="dxa" w:w="28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Prevalencia Simulada</w:t>
            </w:r>
          </w:p>
        </w:tc>
      </w:tr>
      <w:tr>
        <w:tc>
          <w:tcPr>
            <w:tcW w:type="dxa" w:w="3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Supermercados</w:t>
            </w:r>
          </w:p>
        </w:tc>
        <w:tc>
          <w:tcPr>
            <w:tcW w:type="dxa" w:w="30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1.3%</w:t>
            </w:r>
          </w:p>
        </w:tc>
        <w:tc>
          <w:tcPr>
            <w:tcW w:type="dxa" w:w="28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0.8%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Carnicerías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r>
      <w:tr>
        <w:tc>
          <w:tcPr>
            <w:tcW w:type="dxa" w:w="3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Tianguis</w:t>
            </w:r>
          </w:p>
        </w:tc>
        <w:tc>
          <w:tcPr>
            <w:tcW w:type="dxa" w:w="30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13.6%</w:t>
            </w:r>
          </w:p>
        </w:tc>
        <w:tc>
          <w:tcPr>
            <w:tcW w:type="dxa" w:w="28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13.7%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Mercados Municipales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21.4%</w:t>
            </w:r>
          </w:p>
        </w:tc>
      </w:tr>
    </w:tbl>
    <w:p>
      <w:pPr>
        <w:spacing w:after="80" w:before="0"/>
      </w:pPr>
    </w:p>
    <w:p>
      <w:pPr>
        <w:pStyle w:val="ListParagraph"/>
        <w:numPr>
          <w:ilvl w:val="0"/>
          <w:numId w:val="2"/>
        </w:numPr>
        <w:spacing w:after="60" w:before="40" w:line="320" w:lineRule="auto"/>
        <w:jc w:val="both"/>
      </w:pPr>
      <w:r>
        <w:rPr>
          <w:rFonts w:ascii="Arial" w:cs="Arial" w:eastAsia="Arial" w:hAnsi="Arial"/>
          <w:sz w:val="22"/>
          <w:szCs w:val="22"/>
        </w:rPr>
        <w:t xml:space="preserve">F-statistic: 78.72</w:t>
      </w:r>
    </w:p>
    <w:p>
      <w:pPr>
        <w:pStyle w:val="ListParagraph"/>
        <w:numPr>
          <w:ilvl w:val="0"/>
          <w:numId w:val="2"/>
        </w:numPr>
        <w:spacing w:after="60" w:before="40" w:line="320" w:lineRule="auto"/>
        <w:jc w:val="both"/>
      </w:pPr>
      <w:r>
        <w:rPr>
          <w:rFonts w:ascii="Arial" w:cs="Arial" w:eastAsia="Arial" w:hAnsi="Arial"/>
          <w:sz w:val="22"/>
          <w:szCs w:val="22"/>
        </w:rPr>
        <w:t xml:space="preserve">P-value: 1.80 × 10⁻⁴⁹ (altamente significativo)</w:t>
      </w:r>
    </w:p>
    <w:p>
      <w:pPr>
        <w:spacing w:after="40" w:before="0"/>
      </w:pPr>
    </w:p>
    <w:p>
      <w:pPr>
        <w:spacing w:after="120" w:before="60" w:line="360" w:lineRule="auto"/>
        <w:jc w:val="both"/>
      </w:pPr>
      <w:r>
        <w:rPr>
          <w:rFonts w:ascii="Arial" w:cs="Arial" w:eastAsia="Arial" w:hAnsi="Arial"/>
          <w:b/>
          <w:bCs/>
          <w:sz w:val="22"/>
          <w:szCs w:val="22"/>
        </w:rPr>
        <w:t xml:space="preserve">Hallazgo: </w:t>
      </w:r>
      <w:r>
        <w:rPr>
          <w:rFonts w:ascii="Arial" w:cs="Arial" w:eastAsia="Arial" w:hAnsi="Arial"/>
          <w:sz w:val="22"/>
          <w:szCs w:val="22"/>
        </w:rPr>
        <w:t xml:space="preserve">La diferencia entre canales es abrumadoramente significativa (p &lt; 0.001). Un consumidor que compra carne en un mercado municipal tiene 26 veces más probabilidad de encontrar Salmonella que uno que compra en un supermercado (21.4% vs 0.8%). Esto valida cuantitativamente el argumento de que el canal de distribución informal es el principal vector de riesgo alimentario.</w:t>
      </w:r>
    </w:p>
    <w:p>
      <w:pPr>
        <w:spacing w:after="120" w:before="120"/>
        <w:jc w:val="center"/>
      </w:pPr>
      <w:r>
        <w:drawing>
          <wp:inline distT="0" distB="0" distL="0" distR="0">
            <wp:extent cx="4251960" cy="2606040"/>
            <wp:effectExtent t="0" r="0" b="0" l="0"/>
            <wp:docPr id="1" name="anova_canales_venta.png" descr="anova_canales_venta.png" title="anova_canales_ven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51960" cy="260604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8. ANOVA: Riesgo sanitario por canal de venta (F = 78.72, p &lt; 0.001).</w:t>
      </w:r>
    </w:p>
    <w:p>
      <w:pPr>
        <w:pStyle w:val="Heading1"/>
        <w:pageBreakBefore/>
        <w:spacing w:after="160" w:before="200"/>
      </w:pPr>
      <w:r>
        <w:rPr>
          <w:rFonts w:ascii="Arial" w:cs="Arial" w:eastAsia="Arial" w:hAnsi="Arial"/>
          <w:b/>
          <w:bCs/>
          <w:color w:val="9C223F"/>
          <w:sz w:val="36"/>
          <w:szCs w:val="36"/>
        </w:rPr>
        <w:t xml:space="preserve">5. Modelado Matemático SIR</w:t>
      </w:r>
    </w:p>
    <w:p>
      <w:pPr>
        <w:pStyle w:val="Heading2"/>
        <w:spacing w:after="100" w:before="200"/>
      </w:pPr>
      <w:r>
        <w:rPr>
          <w:rFonts w:ascii="Arial" w:cs="Arial" w:eastAsia="Arial" w:hAnsi="Arial"/>
          <w:b/>
          <w:bCs/>
          <w:color w:val="1A1A2E"/>
          <w:sz w:val="28"/>
          <w:szCs w:val="28"/>
        </w:rPr>
        <w:t xml:space="preserve">5.1 Fundamentos Teóricos</w:t>
      </w:r>
    </w:p>
    <w:p>
      <w:pPr>
        <w:spacing w:after="120" w:before="60" w:line="360" w:lineRule="auto"/>
        <w:jc w:val="both"/>
      </w:pPr>
      <w:r>
        <w:rPr>
          <w:rFonts w:ascii="Arial" w:cs="Arial" w:eastAsia="Arial" w:hAnsi="Arial"/>
          <w:sz w:val="22"/>
          <w:szCs w:val="22"/>
        </w:rPr>
        <w:t xml:space="preserve">El modelo SIR (Susceptibles-Infectados-Recuperados), propuesto por Kermack y McKendrick en 1927, divide a la población en tres compartimentos que fluyen como líquidos en tuberías. Se implementó como un sistema de Ecuaciones Diferenciales Ordinarias (ODEs) resuelto mediante integración numérica (scipy.integrate.odeint), que utiliza internamente métodos de Runge-Kutta para garantizar precisión.</w:t>
      </w:r>
    </w:p>
    <w:p>
      <w:pPr>
        <w:spacing w:after="80" w:before="0"/>
      </w:pPr>
    </w:p>
    <w:p>
      <w:pPr>
        <w:spacing w:after="120" w:before="60" w:line="360" w:lineRule="auto"/>
        <w:jc w:val="both"/>
      </w:pPr>
      <w:r>
        <w:rPr>
          <w:rFonts w:ascii="Arial" w:cs="Arial" w:eastAsia="Arial" w:hAnsi="Arial"/>
          <w:b/>
          <w:bCs/>
          <w:sz w:val="22"/>
          <w:szCs w:val="22"/>
        </w:rPr>
        <w:t xml:space="preserve">Las ecuaciones del sistema son:</w:t>
      </w:r>
    </w:p>
    <w:p>
      <w:pPr>
        <w:pStyle w:val="ListParagraph"/>
        <w:numPr>
          <w:ilvl w:val="0"/>
          <w:numId w:val="2"/>
        </w:numPr>
        <w:spacing w:after="60" w:before="40" w:line="320" w:lineRule="auto"/>
        <w:jc w:val="both"/>
      </w:pPr>
      <w:r>
        <w:rPr>
          <w:rFonts w:ascii="Arial" w:cs="Arial" w:eastAsia="Arial" w:hAnsi="Arial"/>
          <w:sz w:val="22"/>
          <w:szCs w:val="22"/>
        </w:rPr>
        <w:t xml:space="preserve">dS/dt = −β · S · I / N   (tasa de contagio)</w:t>
      </w:r>
    </w:p>
    <w:p>
      <w:pPr>
        <w:pStyle w:val="ListParagraph"/>
        <w:numPr>
          <w:ilvl w:val="0"/>
          <w:numId w:val="2"/>
        </w:numPr>
        <w:spacing w:after="60" w:before="40" w:line="320" w:lineRule="auto"/>
        <w:jc w:val="both"/>
      </w:pPr>
      <w:r>
        <w:rPr>
          <w:rFonts w:ascii="Arial" w:cs="Arial" w:eastAsia="Arial" w:hAnsi="Arial"/>
          <w:sz w:val="22"/>
          <w:szCs w:val="22"/>
        </w:rPr>
        <w:t xml:space="preserve">dI/dt = β · S · I / N − γ · I   (balance neto de infectados)</w:t>
      </w:r>
    </w:p>
    <w:p>
      <w:pPr>
        <w:pStyle w:val="ListParagraph"/>
        <w:numPr>
          <w:ilvl w:val="0"/>
          <w:numId w:val="2"/>
        </w:numPr>
        <w:spacing w:after="60" w:before="40" w:line="320" w:lineRule="auto"/>
        <w:jc w:val="both"/>
      </w:pPr>
      <w:r>
        <w:rPr>
          <w:rFonts w:ascii="Arial" w:cs="Arial" w:eastAsia="Arial" w:hAnsi="Arial"/>
          <w:sz w:val="22"/>
          <w:szCs w:val="22"/>
        </w:rPr>
        <w:t xml:space="preserve">dR/dt = γ · I   (acumulación de removidos)</w:t>
      </w:r>
    </w:p>
    <w:p>
      <w:pPr>
        <w:pStyle w:val="Heading2"/>
        <w:spacing w:after="100" w:before="200"/>
      </w:pPr>
      <w:r>
        <w:rPr>
          <w:rFonts w:ascii="Arial" w:cs="Arial" w:eastAsia="Arial" w:hAnsi="Arial"/>
          <w:b/>
          <w:bCs/>
          <w:color w:val="1A1A2E"/>
          <w:sz w:val="28"/>
          <w:szCs w:val="28"/>
        </w:rPr>
        <w:t xml:space="preserve">5.2 Simulación Dual: TB Bovina vs. Fiebre Aftosa</w:t>
      </w:r>
    </w:p>
    <w:p>
      <w:pPr>
        <w:spacing w:after="120" w:before="60" w:line="360" w:lineRule="auto"/>
        <w:jc w:val="both"/>
      </w:pPr>
      <w:r>
        <w:rPr>
          <w:rFonts w:ascii="Arial" w:cs="Arial" w:eastAsia="Arial" w:hAnsi="Arial"/>
          <w:b/>
          <w:bCs/>
          <w:sz w:val="22"/>
          <w:szCs w:val="22"/>
        </w:rPr>
        <w:t xml:space="preserve">Código: </w:t>
      </w:r>
      <w:r>
        <w:rPr>
          <w:rFonts w:ascii="Arial" w:cs="Arial" w:eastAsia="Arial" w:hAnsi="Arial"/>
          <w:sz w:val="22"/>
          <w:szCs w:val="22"/>
        </w:rPr>
        <w:t xml:space="preserve">src/models/sir_dual.py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c>
          <w:tcPr>
            <w:tcW w:type="dxa" w:w="24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33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TB Bovina (Endémica)</w:t>
            </w:r>
          </w:p>
        </w:tc>
        <w:tc>
          <w:tcPr>
            <w:tcW w:type="dxa" w:w="33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Fiebre Aftosa (Shock Exótico)</w:t>
            </w:r>
          </w:p>
        </w:tc>
      </w:tr>
      <w:tr>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I₀ inicial</w:t>
            </w:r>
          </w:p>
        </w:tc>
        <w:tc>
          <w:tcPr>
            <w:tcW w:type="dxa" w:w="33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7,558 animales (SENASICA 2024)</w:t>
            </w:r>
          </w:p>
        </w:tc>
        <w:tc>
          <w:tcPr>
            <w:tcW w:type="dxa" w:w="3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 animal (importación)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R₀ estimado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(Barlow, 1991)</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(Tildesley et al., 2006)</w:t>
            </w:r>
          </w:p>
        </w:tc>
      </w:tr>
      <w:tr>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Duración (1/γ)</w:t>
            </w:r>
          </w:p>
        </w:tc>
        <w:tc>
          <w:tcPr>
            <w:tcW w:type="dxa" w:w="33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180 días (crónica)</w:t>
            </w:r>
          </w:p>
        </w:tc>
        <w:tc>
          <w:tcPr>
            <w:tcW w:type="dxa" w:w="3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14 días (aguda)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 de I a 150 días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14,711 animales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18,752,410 animales</w:t>
            </w:r>
          </w:p>
        </w:tc>
      </w:tr>
      <w:tr>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Interpretación</w:t>
            </w:r>
          </w:p>
        </w:tc>
        <w:tc>
          <w:tcPr>
            <w:tcW w:type="dxa" w:w="33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Sangrado silencioso</w:t>
            </w:r>
          </w:p>
        </w:tc>
        <w:tc>
          <w:tcPr>
            <w:tcW w:type="dxa" w:w="3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Colapso exponencial catastrófico</w:t>
            </w:r>
          </w:p>
        </w:tc>
      </w:tr>
    </w:tbl>
    <w:p>
      <w:pPr>
        <w:spacing w:after="80" w:before="0"/>
      </w:pPr>
    </w:p>
    <w:p>
      <w:pPr>
        <w:spacing w:after="120" w:before="60" w:line="360" w:lineRule="auto"/>
        <w:jc w:val="both"/>
      </w:pPr>
      <w:r>
        <w:rPr>
          <w:rFonts w:ascii="Arial" w:cs="Arial" w:eastAsia="Arial" w:hAnsi="Arial"/>
          <w:b/>
          <w:bCs/>
          <w:sz w:val="22"/>
          <w:szCs w:val="22"/>
        </w:rPr>
        <w:t xml:space="preserve">Hallazgo Clave: </w:t>
      </w:r>
      <w:r>
        <w:rPr>
          <w:rFonts w:ascii="Arial" w:cs="Arial" w:eastAsia="Arial" w:hAnsi="Arial"/>
          <w:sz w:val="22"/>
          <w:szCs w:val="22"/>
        </w:rPr>
        <w:t xml:space="preserve">Un único animal importado con Serotipo O puede incendiar más del 53% del hato nacional (18.7M de 35.1M) antes del día 150.</w:t>
      </w:r>
    </w:p>
    <w:p>
      <w:pPr>
        <w:spacing w:after="120" w:before="120"/>
        <w:jc w:val="center"/>
      </w:pPr>
      <w:r>
        <w:drawing>
          <wp:inline distT="0" distB="0" distL="0" distR="0">
            <wp:extent cx="4251960" cy="2743200"/>
            <wp:effectExtent t="0" r="0" b="0" l="0"/>
            <wp:docPr id="1" name="sir_comparativo.png" descr="sir_comparativo.png" title="sir_compara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51960" cy="27432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9. Simulación SIR dual: Tuberculosis Bovina endémica vs. Fiebre Aftosa exótica.</w:t>
      </w:r>
    </w:p>
    <w:p>
      <w:pPr>
        <w:pStyle w:val="Heading1"/>
        <w:pageBreakBefore/>
        <w:spacing w:after="160" w:before="200"/>
      </w:pPr>
      <w:r>
        <w:rPr>
          <w:rFonts w:ascii="Arial" w:cs="Arial" w:eastAsia="Arial" w:hAnsi="Arial"/>
          <w:b/>
          <w:bCs/>
          <w:color w:val="9C223F"/>
          <w:sz w:val="36"/>
          <w:szCs w:val="36"/>
        </w:rPr>
        <w:t xml:space="preserve">6. Análisis de Impacto Económico</w:t>
      </w:r>
    </w:p>
    <w:p>
      <w:pPr>
        <w:pStyle w:val="Heading2"/>
        <w:spacing w:after="100" w:before="200"/>
      </w:pPr>
      <w:r>
        <w:rPr>
          <w:rFonts w:ascii="Arial" w:cs="Arial" w:eastAsia="Arial" w:hAnsi="Arial"/>
          <w:b/>
          <w:bCs/>
          <w:color w:val="1A1A2E"/>
          <w:sz w:val="28"/>
          <w:szCs w:val="28"/>
        </w:rPr>
        <w:t xml:space="preserve">6.1 TB Bovina: El "Cáncer Financiero" del Ganadero (Proxy de Calibración)</w:t>
      </w:r>
    </w:p>
    <w:p>
      <w:pPr>
        <w:spacing w:after="120" w:before="60" w:line="360" w:lineRule="auto"/>
        <w:jc w:val="both"/>
      </w:pPr>
      <w:r>
        <w:rPr>
          <w:rFonts w:ascii="Arial" w:cs="Arial" w:eastAsia="Arial" w:hAnsi="Arial"/>
          <w:b/>
          <w:bCs/>
          <w:sz w:val="22"/>
          <w:szCs w:val="22"/>
        </w:rPr>
        <w:t xml:space="preserve">Código: </w:t>
      </w:r>
      <w:r>
        <w:rPr>
          <w:rFonts w:ascii="Arial" w:cs="Arial" w:eastAsia="Arial" w:hAnsi="Arial"/>
          <w:sz w:val="22"/>
          <w:szCs w:val="22"/>
        </w:rPr>
        <w:t xml:space="preserve">src/models/tb_storytelling_plot.py</w:t>
      </w:r>
    </w:p>
    <w:p>
      <w:pPr>
        <w:spacing w:after="120" w:before="60" w:line="360" w:lineRule="auto"/>
        <w:jc w:val="both"/>
      </w:pPr>
      <w:r>
        <w:rPr>
          <w:rFonts w:ascii="Arial" w:cs="Arial" w:eastAsia="Arial" w:hAnsi="Arial"/>
          <w:sz w:val="22"/>
          <w:szCs w:val="22"/>
        </w:rPr>
        <w:t xml:space="preserve">Dado que la curva de infectados de TB es estable (~14K animales) pero persistente durante años, el daño real es acumulativo. Se construyó un modelo económico basado en literatura científica para calibrar la metodología antes de aplicarla a FMD:</w:t>
      </w:r>
    </w:p>
    <w:p>
      <w:pPr>
        <w:spacing w:after="40" w:before="0"/>
      </w:pPr>
    </w:p>
    <w:p>
      <w:pPr>
        <w:pStyle w:val="ListParagraph"/>
        <w:numPr>
          <w:ilvl w:val="0"/>
          <w:numId w:val="2"/>
        </w:numPr>
        <w:spacing w:after="60" w:before="40" w:line="320" w:lineRule="auto"/>
        <w:jc w:val="both"/>
      </w:pPr>
      <w:r>
        <w:rPr>
          <w:rFonts w:ascii="Arial" w:cs="Arial" w:eastAsia="Arial" w:hAnsi="Arial"/>
          <w:sz w:val="22"/>
          <w:szCs w:val="22"/>
        </w:rPr>
        <w:t xml:space="preserve">Caída en Producción: Rahman &amp; Samad (2009) reporta una caída del -17% en producción de leche por vaca infectada.</w:t>
      </w:r>
    </w:p>
    <w:p>
      <w:pPr>
        <w:pStyle w:val="ListParagraph"/>
        <w:numPr>
          <w:ilvl w:val="0"/>
          <w:numId w:val="2"/>
        </w:numPr>
        <w:spacing w:after="60" w:before="40" w:line="320" w:lineRule="auto"/>
        <w:jc w:val="both"/>
      </w:pPr>
      <w:r>
        <w:rPr>
          <w:rFonts w:ascii="Arial" w:cs="Arial" w:eastAsia="Arial" w:hAnsi="Arial"/>
          <w:sz w:val="22"/>
          <w:szCs w:val="22"/>
        </w:rPr>
        <w:t xml:space="preserve">Precio de la Leche (SIAP México, 2024): $6.50 MXN/litro.</w:t>
      </w:r>
    </w:p>
    <w:p>
      <w:pPr>
        <w:pStyle w:val="ListParagraph"/>
        <w:numPr>
          <w:ilvl w:val="0"/>
          <w:numId w:val="2"/>
        </w:numPr>
        <w:spacing w:after="60" w:before="40" w:line="320" w:lineRule="auto"/>
        <w:jc w:val="both"/>
      </w:pPr>
      <w:r>
        <w:rPr>
          <w:rFonts w:ascii="Arial" w:cs="Arial" w:eastAsia="Arial" w:hAnsi="Arial"/>
          <w:sz w:val="22"/>
          <w:szCs w:val="22"/>
        </w:rPr>
        <w:t xml:space="preserve">Producción Estándar: 18 litros/día por vaca (SAGARPA, 2023).</w:t>
      </w:r>
    </w:p>
    <w:p>
      <w:pPr>
        <w:pStyle w:val="ListParagraph"/>
        <w:numPr>
          <w:ilvl w:val="0"/>
          <w:numId w:val="2"/>
        </w:numPr>
        <w:spacing w:after="60" w:before="40" w:line="320" w:lineRule="auto"/>
        <w:jc w:val="both"/>
      </w:pPr>
      <w:r>
        <w:rPr>
          <w:rFonts w:ascii="Arial" w:cs="Arial" w:eastAsia="Arial" w:hAnsi="Arial"/>
          <w:sz w:val="22"/>
          <w:szCs w:val="22"/>
        </w:rPr>
        <w:t xml:space="preserve">Derivación: 18 L × 17% = 3.06 L perdidos → 3.06 × $6.50 = $19.89 MXN ≈ $1.10 USD diarios por vaca.</w:t>
      </w:r>
    </w:p>
    <w:p>
      <w:pPr>
        <w:spacing w:after="40" w:before="0"/>
      </w:pPr>
    </w:p>
    <w:p>
      <w:pPr>
        <w:spacing w:after="120" w:before="60" w:line="360" w:lineRule="auto"/>
        <w:jc w:val="both"/>
      </w:pPr>
      <w:r>
        <w:rPr>
          <w:rFonts w:ascii="Arial" w:cs="Arial" w:eastAsia="Arial" w:hAnsi="Arial"/>
          <w:b/>
          <w:bCs/>
          <w:sz w:val="22"/>
          <w:szCs w:val="22"/>
        </w:rPr>
        <w:t xml:space="preserve">Resultado: </w:t>
      </w:r>
      <w:r>
        <w:rPr>
          <w:rFonts w:ascii="Arial" w:cs="Arial" w:eastAsia="Arial" w:hAnsi="Arial"/>
          <w:sz w:val="22"/>
          <w:szCs w:val="22"/>
        </w:rPr>
        <w:t xml:space="preserve">Integrando el costo sobre 36 meses, la pérdida nacional asciende a $17.3 Millones de USD exclusivamente por caída en producción lechera. Este valor sirve como escenario base para comparar con la magnitud 7,000x mayor de FMD.</w:t>
      </w:r>
    </w:p>
    <w:p>
      <w:pPr>
        <w:spacing w:after="120" w:before="120"/>
        <w:jc w:val="center"/>
      </w:pPr>
      <w:r>
        <w:drawing>
          <wp:inline distT="0" distB="0" distL="0" distR="0">
            <wp:extent cx="4251960" cy="2743200"/>
            <wp:effectExtent t="0" r="0" b="0" l="0"/>
            <wp:docPr id="1" name="tb_impacto_financiero.png" descr="tb_impacto_financiero.png" title="tb_impacto_financi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51960" cy="27432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10. Impacto financiero acumulado de la Tuberculosis Bovina ($17.3M USD en 36 meses) — Proxy de calibración.</w:t>
      </w:r>
    </w:p>
    <w:p>
      <w:pPr>
        <w:pStyle w:val="Heading2"/>
        <w:spacing w:after="100" w:before="200"/>
      </w:pPr>
      <w:r>
        <w:rPr>
          <w:rFonts w:ascii="Arial" w:cs="Arial" w:eastAsia="Arial" w:hAnsi="Arial"/>
          <w:b/>
          <w:bCs/>
          <w:color w:val="1A1A2E"/>
          <w:sz w:val="28"/>
          <w:szCs w:val="28"/>
        </w:rPr>
        <w:t xml:space="preserve">6.2 Fiebre Aftosa: La Quiebra Automática</w:t>
      </w:r>
    </w:p>
    <w:p>
      <w:pPr>
        <w:spacing w:after="120" w:before="60" w:line="360" w:lineRule="auto"/>
        <w:jc w:val="both"/>
      </w:pPr>
      <w:r>
        <w:rPr>
          <w:rFonts w:ascii="Arial" w:cs="Arial" w:eastAsia="Arial" w:hAnsi="Arial"/>
          <w:b/>
          <w:bCs/>
          <w:sz w:val="22"/>
          <w:szCs w:val="22"/>
        </w:rPr>
        <w:t xml:space="preserve">Código: </w:t>
      </w:r>
      <w:r>
        <w:rPr>
          <w:rFonts w:ascii="Arial" w:cs="Arial" w:eastAsia="Arial" w:hAnsi="Arial"/>
          <w:sz w:val="22"/>
          <w:szCs w:val="22"/>
        </w:rPr>
        <w:t xml:space="preserve">src/models/fmd_finance_addendum.py</w:t>
      </w:r>
    </w:p>
    <w:p>
      <w:pPr>
        <w:spacing w:after="120" w:before="60" w:line="360" w:lineRule="auto"/>
        <w:jc w:val="both"/>
      </w:pPr>
      <w:r>
        <w:rPr>
          <w:rFonts w:ascii="Arial" w:cs="Arial" w:eastAsia="Arial" w:hAnsi="Arial"/>
          <w:sz w:val="22"/>
          <w:szCs w:val="22"/>
        </w:rPr>
        <w:t xml:space="preserve">A diferencia de la TB, la Fiebre Aftosa desencadena un colapso instantáneo:</w:t>
      </w:r>
    </w:p>
    <w:p>
      <w:pPr>
        <w:spacing w:after="40" w:before="0"/>
      </w:pPr>
    </w:p>
    <w:p>
      <w:pPr>
        <w:pStyle w:val="ListParagraph"/>
        <w:numPr>
          <w:ilvl w:val="0"/>
          <w:numId w:val="2"/>
        </w:numPr>
        <w:spacing w:after="60" w:before="40" w:line="320" w:lineRule="auto"/>
        <w:jc w:val="both"/>
      </w:pPr>
      <w:r>
        <w:rPr>
          <w:rFonts w:ascii="Arial" w:cs="Arial" w:eastAsia="Arial" w:hAnsi="Arial"/>
          <w:sz w:val="22"/>
          <w:szCs w:val="22"/>
        </w:rPr>
        <w:t xml:space="preserve">Pérdida Biológica: 500 kg en pie × $52.5 MXN/kg = $26,250 MXN ≈ $1,544 USD por cabeza sacrificada (Fuente: SNIIM 2024 / Uniones Ganaderas).</w:t>
      </w:r>
    </w:p>
    <w:p>
      <w:pPr>
        <w:pStyle w:val="ListParagraph"/>
        <w:numPr>
          <w:ilvl w:val="0"/>
          <w:numId w:val="2"/>
        </w:numPr>
        <w:spacing w:after="60" w:before="40" w:line="320" w:lineRule="auto"/>
        <w:jc w:val="both"/>
      </w:pPr>
      <w:r>
        <w:rPr>
          <w:rFonts w:ascii="Arial" w:cs="Arial" w:eastAsia="Arial" w:hAnsi="Arial"/>
          <w:sz w:val="22"/>
          <w:szCs w:val="22"/>
        </w:rPr>
        <w:t xml:space="preserve">Cierre de Fronteras: Al declararse I₀=1, se activa un bloqueo OMSA a los $3,000 Millones USD anuales de exportación cárnica (pérdida de ~$8.2 Millones USD diarios).</w:t>
      </w:r>
    </w:p>
    <w:p>
      <w:pPr>
        <w:spacing w:after="40" w:before="0"/>
      </w:pPr>
    </w:p>
    <w:p>
      <w:pPr>
        <w:spacing w:after="120" w:before="60" w:line="360" w:lineRule="auto"/>
        <w:jc w:val="both"/>
      </w:pPr>
      <w:r>
        <w:rPr>
          <w:rFonts w:ascii="Arial" w:cs="Arial" w:eastAsia="Arial" w:hAnsi="Arial"/>
          <w:b/>
          <w:bCs/>
          <w:sz w:val="22"/>
          <w:szCs w:val="22"/>
        </w:rPr>
        <w:t xml:space="preserve">Resultado: </w:t>
      </w:r>
      <w:r>
        <w:rPr>
          <w:rFonts w:ascii="Arial" w:cs="Arial" w:eastAsia="Arial" w:hAnsi="Arial"/>
          <w:sz w:val="22"/>
          <w:szCs w:val="22"/>
        </w:rPr>
        <w:t xml:space="preserve">En menos de 150 días, la pérdida acumulada alcanza $52.8 Billion USD, equivalente al 4% del PIB de México.</w:t>
      </w:r>
    </w:p>
    <w:p>
      <w:pPr>
        <w:spacing w:after="120" w:before="120"/>
        <w:jc w:val="center"/>
      </w:pPr>
      <w:r>
        <w:drawing>
          <wp:inline distT="0" distB="0" distL="0" distR="0">
            <wp:extent cx="4251960" cy="2743200"/>
            <wp:effectExtent t="0" r="0" b="0" l="0"/>
            <wp:docPr id="1" name="fmd_impacto_nuclear.png" descr="fmd_impacto_nuclear.png" title="fmd_impacto_nucl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51960" cy="27432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11. Colapso financiero catastrófico por Fiebre Aftosa ($52.8B USD en 150 días).</w:t>
      </w:r>
    </w:p>
    <w:p>
      <w:pPr>
        <w:pStyle w:val="Heading2"/>
        <w:spacing w:after="100" w:before="200"/>
      </w:pPr>
      <w:r>
        <w:rPr>
          <w:rFonts w:ascii="Arial" w:cs="Arial" w:eastAsia="Arial" w:hAnsi="Arial"/>
          <w:b/>
          <w:bCs/>
          <w:color w:val="1A1A2E"/>
          <w:sz w:val="28"/>
          <w:szCs w:val="28"/>
        </w:rPr>
        <w:t xml:space="preserve">6.3 Costos de Diagnóstico FMD: ¿Cuánto cuesta detectar la enfermedad?</w:t>
      </w:r>
    </w:p>
    <w:p>
      <w:pPr>
        <w:spacing w:after="120" w:before="60" w:line="360" w:lineRule="auto"/>
        <w:jc w:val="both"/>
      </w:pPr>
      <w:r>
        <w:rPr>
          <w:rFonts w:ascii="Arial" w:cs="Arial" w:eastAsia="Arial" w:hAnsi="Arial"/>
          <w:sz w:val="22"/>
          <w:szCs w:val="22"/>
        </w:rPr>
        <w:t xml:space="preserve">En México, la Fiebre Aftosa es una enfermedad exótica (libre desde 1954). El diagnóstico ante sospecha es responsabilidad del Estado a través de la CPA y laboratorios BSL-3 de SENASICA. Sin embargo, el costo presupuestario existe y es cuantificable: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100"/>
        <w:gridCol w:w="2726"/>
      </w:tblGrid>
      <w:tr>
        <w:tc>
          <w:tcPr>
            <w:tcW w:type="dxa" w:w="26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 Diagnóstico FMD</w:t>
            </w:r>
          </w:p>
        </w:tc>
        <w:tc>
          <w:tcPr>
            <w:tcW w:type="dxa" w:w="14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Costo/muestra (USD)</w:t>
            </w:r>
          </w:p>
        </w:tc>
        <w:tc>
          <w:tcPr>
            <w:tcW w:type="dxa" w:w="12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Tiempo</w:t>
            </w:r>
          </w:p>
        </w:tc>
        <w:tc>
          <w:tcPr>
            <w:tcW w:type="dxa" w:w="11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Sensibilidad</w:t>
            </w:r>
          </w:p>
        </w:tc>
        <w:tc>
          <w:tcPr>
            <w:tcW w:type="dxa" w:w="27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w:t>
            </w:r>
          </w:p>
        </w:tc>
      </w:tr>
      <w:tr>
        <w:tc>
          <w:tcPr>
            <w:tcW w:type="dxa" w:w="2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Inspección Clínica (Vesículas)</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$0 – $10</w:t>
            </w:r>
          </w:p>
        </w:tc>
        <w:tc>
          <w:tcPr>
            <w:tcW w:type="dxa" w:w="1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Inmediato</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~70%</w:t>
            </w:r>
          </w:p>
        </w:tc>
        <w:tc>
          <w:tcPr>
            <w:tcW w:type="dxa" w:w="27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SENASICA / CPA; OIE 3.1.8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ELISA NSP (Anticuerpos No-Estructurales)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horas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90-95%</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PrioCHECK FMDV NS; OIE</w:t>
            </w:r>
          </w:p>
        </w:tc>
      </w:tr>
      <w:tr>
        <w:tc>
          <w:tcPr>
            <w:tcW w:type="dxa" w:w="2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RT-PCR Tiempo Real</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$25 – $50</w:t>
            </w:r>
          </w:p>
        </w:tc>
        <w:tc>
          <w:tcPr>
            <w:tcW w:type="dxa" w:w="1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4-8 horas</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95-99%</w:t>
            </w:r>
          </w:p>
        </w:tc>
        <w:tc>
          <w:tcPr>
            <w:tcW w:type="dxa" w:w="27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Reid et al. (2003); PANAFTOSA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LAMP (Prueba de Campo Rápida)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85-95%</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Dukes et al. (2006)</w:t>
            </w:r>
          </w:p>
        </w:tc>
      </w:tr>
      <w:tr>
        <w:tc>
          <w:tcPr>
            <w:tcW w:type="dxa" w:w="2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Aislamiento Viral (Cultivo Celular)</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$80 – $150</w:t>
            </w:r>
          </w:p>
        </w:tc>
        <w:tc>
          <w:tcPr>
            <w:tcW w:type="dxa" w:w="1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3-7 días</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Gold Standard</w:t>
            </w:r>
          </w:p>
        </w:tc>
        <w:tc>
          <w:tcPr>
            <w:tcW w:type="dxa" w:w="27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OIE Manual 3.1.8; Pirbright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Secuenciación Genómica (Serotipado)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5-14 días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Knowles &amp; Samuel (2003)</w:t>
            </w:r>
          </w:p>
        </w:tc>
      </w:tr>
    </w:tbl>
    <w:p>
      <w:pPr>
        <w:spacing w:after="80" w:before="0"/>
      </w:pPr>
    </w:p>
    <w:p>
      <w:pPr>
        <w:spacing w:after="120" w:before="60" w:line="360" w:lineRule="auto"/>
        <w:jc w:val="both"/>
      </w:pPr>
      <w:r>
        <w:rPr>
          <w:rFonts w:ascii="Arial" w:cs="Arial" w:eastAsia="Arial" w:hAnsi="Arial"/>
          <w:sz w:val="22"/>
          <w:szCs w:val="22"/>
        </w:rPr>
        <w:t xml:space="preserve">A diferencia de la Tuberculosis Bovina (donde el productor paga la tuberculina), en FMD el diagnóstico es absorbido íntegramente por el Estado como parte del protocolo DINESA. La prueba ELISA NSP es particularmente importante porque permite distinguir animales infectados de animales vacunados (capacidad DIVA), crucial para mantener el estatus de país libre ante la OMSA.</w:t>
      </w:r>
    </w:p>
    <w:p>
      <w:pPr>
        <w:pStyle w:val="Heading3"/>
        <w:spacing w:after="80" w:before="160"/>
      </w:pPr>
      <w:r>
        <w:rPr>
          <w:rFonts w:ascii="Arial" w:cs="Arial" w:eastAsia="Arial" w:hAnsi="Arial"/>
          <w:b/>
          <w:bCs/>
          <w:color w:val="9C223F"/>
          <w:sz w:val="24"/>
          <w:szCs w:val="24"/>
        </w:rPr>
        <w:t xml:space="preserve">¿Cuánto representa una cabeza o un centenar en riesgo de FMD?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c>
          <w:tcPr>
            <w:tcW w:type="dxa" w:w="36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27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 cabeza</w:t>
            </w:r>
          </w:p>
        </w:tc>
        <w:tc>
          <w:tcPr>
            <w:tcW w:type="dxa" w:w="27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 100 cabezas</w:t>
            </w:r>
          </w:p>
        </w:tc>
      </w:tr>
      <w:tr>
        <w:tc>
          <w:tcPr>
            <w:tcW w:type="dxa" w:w="3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Valor de mercado en pie (500 kg × $52.5 MXN/kg)</w:t>
            </w:r>
          </w:p>
        </w:tc>
        <w:tc>
          <w:tcPr>
            <w:tcW w:type="dxa" w:w="27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$26,250 MXN ($1,544 USD)</w:t>
            </w:r>
          </w:p>
        </w:tc>
        <w:tc>
          <w:tcPr>
            <w:tcW w:type="dxa" w:w="27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$2,625,000 MXN ($154,412 USD)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Pérdida por sacrificio sanitario (Rifle Sanitario)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$1,544 USD (valor total)</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$154,412 USD</w:t>
            </w:r>
          </w:p>
        </w:tc>
      </w:tr>
      <w:tr>
        <w:tc>
          <w:tcPr>
            <w:tcW w:type="dxa" w:w="3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Pérdida diaria de exportaciones (cierre OMSA)</w:t>
            </w:r>
          </w:p>
        </w:tc>
        <w:tc>
          <w:tcPr>
            <w:tcW w:type="dxa" w:w="27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$8,200,000 USD/día (todo el sector)</w:t>
            </w:r>
          </w:p>
        </w:tc>
        <w:tc>
          <w:tcPr>
            <w:tcW w:type="dxa" w:w="27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$3,000,000,000 USD/año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Costo diagnóstico RT-PCR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$37.50 USD promedio</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$3,750 USD</w:t>
            </w:r>
          </w:p>
        </w:tc>
      </w:tr>
    </w:tbl>
    <w:p>
      <w:pPr>
        <w:spacing w:after="80" w:before="0"/>
      </w:pPr>
    </w:p>
    <w:p>
      <w:pPr>
        <w:spacing w:after="120" w:before="60" w:line="360" w:lineRule="auto"/>
        <w:jc w:val="both"/>
      </w:pPr>
      <w:r>
        <w:rPr>
          <w:rFonts w:ascii="Arial" w:cs="Arial" w:eastAsia="Arial" w:hAnsi="Arial"/>
          <w:b/>
          <w:bCs/>
          <w:sz w:val="22"/>
          <w:szCs w:val="22"/>
        </w:rPr>
        <w:t xml:space="preserve">Fuentes: </w:t>
      </w:r>
      <w:r>
        <w:rPr>
          <w:rFonts w:ascii="Arial" w:cs="Arial" w:eastAsia="Arial" w:hAnsi="Arial"/>
          <w:sz w:val="22"/>
          <w:szCs w:val="22"/>
        </w:rPr>
        <w:t xml:space="preserve">Precio ganado en pie: SNIIM 2024. Exportaciones: USDA ERS 2024 ($1,015M ganado vivo + $1,700M carne = ~$3,000M/año).</w:t>
      </w:r>
    </w:p>
    <w:p>
      <w:pPr>
        <w:pStyle w:val="Heading2"/>
        <w:spacing w:after="100" w:before="200"/>
      </w:pPr>
      <w:r>
        <w:rPr>
          <w:rFonts w:ascii="Arial" w:cs="Arial" w:eastAsia="Arial" w:hAnsi="Arial"/>
          <w:b/>
          <w:bCs/>
          <w:color w:val="1A1A2E"/>
          <w:sz w:val="28"/>
          <w:szCs w:val="28"/>
        </w:rPr>
        <w:t xml:space="preserve">6.4 Flujo de Caja: Escenario de Reintroducción de FMD (5 meses)</w:t>
      </w:r>
    </w:p>
    <w:p>
      <w:pPr>
        <w:spacing w:after="120" w:before="60" w:line="360" w:lineRule="auto"/>
        <w:jc w:val="both"/>
      </w:pPr>
      <w:r>
        <w:rPr>
          <w:rFonts w:ascii="Arial" w:cs="Arial" w:eastAsia="Arial" w:hAnsi="Arial"/>
          <w:b/>
          <w:bCs/>
          <w:sz w:val="22"/>
          <w:szCs w:val="22"/>
        </w:rPr>
        <w:t xml:space="preserve">Código: </w:t>
      </w:r>
      <w:r>
        <w:rPr>
          <w:rFonts w:ascii="Arial" w:cs="Arial" w:eastAsia="Arial" w:hAnsi="Arial"/>
          <w:sz w:val="22"/>
          <w:szCs w:val="22"/>
        </w:rPr>
        <w:t xml:space="preserve">src/models/fmd_finance_addendum.py</w:t>
      </w:r>
    </w:p>
    <w:p>
      <w:pPr>
        <w:spacing w:after="120" w:before="60" w:line="360" w:lineRule="auto"/>
        <w:jc w:val="both"/>
      </w:pPr>
      <w:r>
        <w:rPr>
          <w:rFonts w:ascii="Arial" w:cs="Arial" w:eastAsia="Arial" w:hAnsi="Arial"/>
          <w:sz w:val="22"/>
          <w:szCs w:val="22"/>
        </w:rPr>
        <w:t xml:space="preserve">Se proyectó el impacto económico mensual de un escenario donde 1 solo animal infectado con Serotipo O ingresa al hato nacional de 35.1 millones, utilizando el modelo SIR (R₀ = 6.0) y dos componentes de costo: el sacrificio sanitario (valor de mercado de cada animal removido) y el cierre de exportaciones bovinas por la OMSA.</w:t>
      </w:r>
    </w:p>
    <w:p>
      <w:pPr>
        <w:spacing w:after="40" w:before="0"/>
      </w:pPr>
    </w:p>
    <w:p>
      <w:pPr>
        <w:spacing w:after="120" w:before="60" w:line="360" w:lineRule="auto"/>
        <w:jc w:val="both"/>
      </w:pPr>
      <w:r>
        <w:rPr>
          <w:rFonts w:ascii="Arial" w:cs="Arial" w:eastAsia="Arial" w:hAnsi="Arial"/>
          <w:b/>
          <w:bCs/>
          <w:sz w:val="22"/>
          <w:szCs w:val="22"/>
        </w:rPr>
        <w:t xml:space="preserve">Modelo de cierre de exportaciones: </w:t>
      </w:r>
      <w:r>
        <w:rPr>
          <w:rFonts w:ascii="Arial" w:cs="Arial" w:eastAsia="Arial" w:hAnsi="Arial"/>
          <w:sz w:val="22"/>
          <w:szCs w:val="22"/>
        </w:rPr>
        <w:t xml:space="preserve">El bloqueo comercial no es instantáneo. Se implementó un modelo escalonado basado en los tiempos de reacción documentados de los socios comerciales:</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1100"/>
        <w:gridCol w:w="4326"/>
      </w:tblGrid>
      <w:tr>
        <w:tc>
          <w:tcPr>
            <w:tcW w:type="dxa" w:w="18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8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Días</w:t>
            </w:r>
          </w:p>
        </w:tc>
        <w:tc>
          <w:tcPr>
            <w:tcW w:type="dxa" w:w="10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Cerrado</w:t>
            </w:r>
          </w:p>
        </w:tc>
        <w:tc>
          <w:tcPr>
            <w:tcW w:type="dxa" w:w="11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Pérdida/día</w:t>
            </w:r>
          </w:p>
        </w:tc>
        <w:tc>
          <w:tcPr>
            <w:tcW w:type="dxa" w:w="43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w:t>
            </w:r>
          </w:p>
        </w:tc>
      </w:tr>
      <w:tr>
        <w:tc>
          <w:tcPr>
            <w:tcW w:type="dxa" w:w="1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Sospecha</w:t>
            </w:r>
          </w:p>
        </w:tc>
        <w:tc>
          <w:tcPr>
            <w:tcW w:type="dxa" w:w="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$0</w:t>
            </w:r>
          </w:p>
        </w:tc>
        <w:tc>
          <w:tcPr>
            <w:tcW w:type="dxa" w:w="4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Protocolo DINESA (SENASICA); OIE Manual 3.1.8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Confirmación + EE.UU.</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$7.4M</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WOAH TAHC Art. 1.1.3; UK 2001 (Anderson Report)</w:t>
            </w:r>
          </w:p>
        </w:tc>
      </w:tr>
      <w:tr>
        <w:tc>
          <w:tcPr>
            <w:tcW w:type="dxa" w:w="1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Reacción global</w:t>
            </w:r>
          </w:p>
        </w:tc>
        <w:tc>
          <w:tcPr>
            <w:tcW w:type="dxa" w:w="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8-14</w:t>
            </w:r>
          </w:p>
        </w:tc>
        <w:tc>
          <w:tcPr>
            <w:tcW w:type="dxa" w:w="10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98%</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$8.0M</w:t>
            </w:r>
          </w:p>
        </w:tc>
        <w:tc>
          <w:tcPr>
            <w:tcW w:type="dxa" w:w="43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MAFF Japan FMD contingency; CFIA Canada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Cierre total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$8.2M</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WOAH TAHC Ch. 8.8</w:t>
            </w:r>
          </w:p>
        </w:tc>
      </w:tr>
    </w:tbl>
    <w:p>
      <w:pPr>
        <w:spacing w:after="40" w:before="0"/>
      </w:pPr>
    </w:p>
    <w:p>
      <w:pPr>
        <w:spacing w:after="120" w:before="60" w:line="360" w:lineRule="auto"/>
        <w:jc w:val="both"/>
      </w:pPr>
      <w:r>
        <w:rPr>
          <w:rFonts w:ascii="Arial" w:cs="Arial" w:eastAsia="Arial" w:hAnsi="Arial"/>
          <w:sz w:val="22"/>
          <w:szCs w:val="22"/>
        </w:rPr>
        <w:t xml:space="preserve">Fuente del mercado: Exportaciones bovinas de México: $1,015M (ganado vivo, ~100% a EE.UU.) + $1,700M (carne de res, ~86% a EE.UU.) + ~$285M (subproductos) = ~$3,000M USD/año (USDA FAS GATS 2024; AHDB 2024). EE.UU. = ~90% del mercado combinado bovino.</w:t>
      </w:r>
    </w:p>
    <w:p>
      <w:pPr>
        <w:spacing w:after="40" w:before="0"/>
      </w:pPr>
    </w:p>
    <w:p>
      <w:pPr>
        <w:spacing w:after="120" w:before="60" w:line="360" w:lineRule="auto"/>
        <w:jc w:val="both"/>
      </w:pPr>
      <w:r>
        <w:rPr>
          <w:rFonts w:ascii="Arial" w:cs="Arial" w:eastAsia="Arial" w:hAnsi="Arial"/>
          <w:b/>
          <w:bCs/>
          <w:sz w:val="22"/>
          <w:szCs w:val="22"/>
        </w:rPr>
        <w:t xml:space="preserve">Metodología de Cálculo: </w:t>
      </w:r>
      <w:r>
        <w:rPr>
          <w:rFonts w:ascii="Arial" w:cs="Arial" w:eastAsia="Arial" w:hAnsi="Arial"/>
          <w:sz w:val="22"/>
          <w:szCs w:val="22"/>
        </w:rPr>
        <w:t xml:space="preserve">La pérdida se estima como L = (V_anual / 365) * %_Fase. Con un V_anual de $3,000M USD, la pérdida máxima es de $8.22M USD/día. El costo de $1,201M USD en los escenarios es la sumatoria de estas pérdidas diarias a 150 días, integrando el ramp-up de los primeros 14 días.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600"/>
        <w:gridCol w:w="1600"/>
        <w:gridCol w:w="2226"/>
      </w:tblGrid>
      <w:tr>
        <w:tc>
          <w:tcPr>
            <w:tcW w:type="dxa" w:w="8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w:t>
            </w:r>
          </w:p>
        </w:tc>
        <w:tc>
          <w:tcPr>
            <w:tcW w:type="dxa" w:w="14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Infectados (pico)</w:t>
            </w:r>
          </w:p>
        </w:tc>
        <w:tc>
          <w:tcPr>
            <w:tcW w:type="dxa" w:w="14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Sacrificados</w:t>
            </w:r>
          </w:p>
        </w:tc>
        <w:tc>
          <w:tcPr>
            <w:tcW w:type="dxa" w:w="16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Sacrificio (USD)</w:t>
            </w:r>
          </w:p>
        </w:tc>
        <w:tc>
          <w:tcPr>
            <w:tcW w:type="dxa" w:w="16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Cierre Export. (USD)</w:t>
            </w:r>
          </w:p>
        </w:tc>
        <w:tc>
          <w:tcPr>
            <w:tcW w:type="dxa" w:w="22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Pérdida Acumulada</w:t>
            </w:r>
          </w:p>
        </w:tc>
      </w:tr>
      <w:tr>
        <w:tc>
          <w:tcPr>
            <w:tcW w:type="dxa" w:w="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9,520</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1,904</w:t>
            </w:r>
          </w:p>
        </w:tc>
        <w:tc>
          <w:tcPr>
            <w:tcW w:type="dxa" w:w="1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$2,939,776</w:t>
            </w:r>
          </w:p>
        </w:tc>
        <w:tc>
          <w:tcPr>
            <w:tcW w:type="dxa" w:w="1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$216,972,000</w:t>
            </w:r>
          </w:p>
        </w:tc>
        <w:tc>
          <w:tcPr>
            <w:tcW w:type="dxa" w:w="22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$219,928,436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19,423,405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8,720,482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$13,464,424,208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$246,000,000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$13,964,343,594</w:t>
            </w:r>
          </w:p>
        </w:tc>
      </w:tr>
      <w:tr>
        <w:tc>
          <w:tcPr>
            <w:tcW w:type="dxa" w:w="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19,685,118</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21,706,241</w:t>
            </w:r>
          </w:p>
        </w:tc>
        <w:tc>
          <w:tcPr>
            <w:tcW w:type="dxa" w:w="1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$33,514,436,104</w:t>
            </w:r>
          </w:p>
        </w:tc>
        <w:tc>
          <w:tcPr>
            <w:tcW w:type="dxa" w:w="1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$246,000,000</w:t>
            </w:r>
          </w:p>
        </w:tc>
        <w:tc>
          <w:tcPr>
            <w:tcW w:type="dxa" w:w="22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$47,759,228,623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2,966,841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2,644,549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$4,083,183,656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$246,000,000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$52,093,604,249</w:t>
            </w:r>
          </w:p>
        </w:tc>
      </w:tr>
      <w:tr>
        <w:tc>
          <w:tcPr>
            <w:tcW w:type="dxa" w:w="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329,660</w:t>
            </w:r>
          </w:p>
        </w:tc>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293,158</w:t>
            </w:r>
          </w:p>
        </w:tc>
        <w:tc>
          <w:tcPr>
            <w:tcW w:type="dxa" w:w="1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$452,635,952</w:t>
            </w:r>
          </w:p>
        </w:tc>
        <w:tc>
          <w:tcPr>
            <w:tcW w:type="dxa" w:w="16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$246,000,000</w:t>
            </w:r>
          </w:p>
        </w:tc>
        <w:tc>
          <w:tcPr>
            <w:tcW w:type="dxa" w:w="22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$52,792,817,106</w:t>
            </w:r>
          </w:p>
        </w:tc>
      </w:tr>
    </w:tbl>
    <w:p>
      <w:pPr>
        <w:spacing w:after="80" w:before="0"/>
      </w:pPr>
    </w:p>
    <w:p>
      <w:pPr>
        <w:spacing w:after="120" w:before="60" w:line="360" w:lineRule="auto"/>
        <w:jc w:val="both"/>
      </w:pPr>
      <w:r>
        <w:rPr>
          <w:rFonts w:ascii="Arial" w:cs="Arial" w:eastAsia="Arial" w:hAnsi="Arial"/>
          <w:b/>
          <w:bCs/>
          <w:sz w:val="22"/>
          <w:szCs w:val="22"/>
        </w:rPr>
        <w:t xml:space="preserve">Hallazgo: </w:t>
      </w:r>
      <w:r>
        <w:rPr>
          <w:rFonts w:ascii="Arial" w:cs="Arial" w:eastAsia="Arial" w:hAnsi="Arial"/>
          <w:sz w:val="22"/>
          <w:szCs w:val="22"/>
        </w:rPr>
        <w:t xml:space="preserve">Con R₀ = 6.0, la FMD no es lineal — es una detonación nuclear biológica. En el Mes 1 parece controlable (1,904 sacrificados), pero en el Mes 2 ya son 8.7 millones y en el Mes 3, 21.7 millones. El Mes 1 muestra un cierre de exportaciones menor ($217M vs $246M) debido al modelo escalonado. A 5 meses, la pérdida acumulada alcanza $52.8 Billion USD — equivalente al 4% del PIB de México.</w:t>
      </w:r>
    </w:p>
    <w:p>
      <w:pPr>
        <w:spacing w:after="120" w:before="60" w:line="360" w:lineRule="auto"/>
        <w:jc w:val="both"/>
      </w:pPr>
      <w:r>
        <w:rPr>
          <w:rFonts w:ascii="Arial" w:cs="Arial" w:eastAsia="Arial" w:hAnsi="Arial"/>
          <w:b/>
          <w:bCs/>
          <w:sz w:val="22"/>
          <w:szCs w:val="22"/>
        </w:rPr>
        <w:t xml:space="preserve">Benchmark internacional: </w:t>
      </w:r>
      <w:r>
        <w:rPr>
          <w:rFonts w:ascii="Arial" w:cs="Arial" w:eastAsia="Arial" w:hAnsi="Arial"/>
          <w:sz w:val="22"/>
          <w:szCs w:val="22"/>
        </w:rPr>
        <w:t xml:space="preserve">El brote de FMD en Reino Unido (2001) costó £8B (~$12B USD), con 6.5 millones de animales sacrificados y £1.3B en compensaciones directas (Anderson Report, 2002). México, con un hato 5.4x mayor, enfrentaría pérdidas proporcionalmente mayores.</w:t>
      </w:r>
    </w:p>
    <w:p>
      <w:pPr>
        <w:spacing w:after="120" w:before="120"/>
        <w:jc w:val="center"/>
      </w:pPr>
      <w:r>
        <w:drawing>
          <wp:inline distT="0" distB="0" distL="0" distR="0">
            <wp:extent cx="4457700" cy="2057400"/>
            <wp:effectExtent t="0" r="0" b="0" l="0"/>
            <wp:docPr id="1" name="flujo_caja_fmd.png" descr="flujo_caja_fmd.png" title="flujo_caja_f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57700" cy="20574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12. Flujo de caja mensual FMD — Costo del sacrificio sanitario derivado del modelo SIR (R₀ = 6.0). Cierre de exportaciones con modelo escalonado de 4 fases.</w:t>
      </w:r>
    </w:p>
    <w:p>
      <w:pPr>
        <w:pStyle w:val="Heading2"/>
        <w:spacing w:after="100" w:before="200"/>
      </w:pPr>
      <w:r>
        <w:rPr>
          <w:rFonts w:ascii="Arial" w:cs="Arial" w:eastAsia="Arial" w:hAnsi="Arial"/>
          <w:b/>
          <w:bCs/>
          <w:color w:val="1A1A2E"/>
          <w:sz w:val="28"/>
          <w:szCs w:val="28"/>
        </w:rPr>
        <w:t xml:space="preserve">6.5 Análisis de Sensibilidad: Impacto del Momento de Detección</w:t>
      </w:r>
    </w:p>
    <w:p>
      <w:pPr>
        <w:spacing w:after="120" w:before="60" w:line="360" w:lineRule="auto"/>
        <w:jc w:val="both"/>
      </w:pPr>
      <w:r>
        <w:rPr>
          <w:rFonts w:ascii="Arial" w:cs="Arial" w:eastAsia="Arial" w:hAnsi="Arial"/>
          <w:sz w:val="22"/>
          <w:szCs w:val="22"/>
        </w:rPr>
        <w:t xml:space="preserve">¿Qué se gana al detectar la FMD a tiempo? Este análisis de sensibilidad varía una sola variable — el día de activación del DINESA — y mide el impacto en animales sacrificados y costo total a 150 días. Se asume que la cuarentena (cierre de movimientos + anillo sanitario 3 km) reduce la tasa de contagio un 85% (Tildesley et al., 2006):</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1200"/>
        <w:gridCol w:w="1100"/>
        <w:gridCol w:w="1100"/>
        <w:gridCol w:w="2126"/>
      </w:tblGrid>
      <w:tr>
        <w:tc>
          <w:tcPr>
            <w:tcW w:type="dxa" w:w="14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Escenario</w:t>
            </w:r>
          </w:p>
        </w:tc>
        <w:tc>
          <w:tcPr>
            <w:tcW w:type="dxa" w:w="9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Día</w:t>
            </w:r>
          </w:p>
        </w:tc>
        <w:tc>
          <w:tcPr>
            <w:tcW w:type="dxa" w:w="12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Sacrificados</w:t>
            </w:r>
          </w:p>
        </w:tc>
        <w:tc>
          <w:tcPr>
            <w:tcW w:type="dxa" w:w="12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 Sacrificio</w:t>
            </w:r>
          </w:p>
        </w:tc>
        <w:tc>
          <w:tcPr>
            <w:tcW w:type="dxa" w:w="11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Cierre Export.</w:t>
            </w:r>
          </w:p>
        </w:tc>
        <w:tc>
          <w:tcPr>
            <w:tcW w:type="dxa" w:w="11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 Total</w:t>
            </w:r>
          </w:p>
        </w:tc>
        <w:tc>
          <w:tcPr>
            <w:tcW w:type="dxa" w:w="21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Ahorro vs. sin detección</w:t>
            </w:r>
          </w:p>
        </w:tc>
      </w:tr>
      <w:tr>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Detección Ideal</w:t>
            </w:r>
          </w:p>
        </w:tc>
        <w:tc>
          <w:tcPr>
            <w:tcW w:type="dxa" w:w="9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Día 3</w:t>
            </w:r>
          </w:p>
        </w:tc>
        <w:tc>
          <w:tcPr>
            <w:tcW w:type="dxa" w:w="1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$0.03M</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$1,201M</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$1,201M</w:t>
            </w:r>
          </w:p>
        </w:tc>
        <w:tc>
          <w:tcPr>
            <w:tcW w:type="dxa" w:w="21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$54.05B (97.8%)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Detección Realista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 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$1,202M</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$54.05B (97.8%)</w:t>
            </w:r>
          </w:p>
        </w:tc>
      </w:tr>
      <w:tr>
        <w:tc>
          <w:tcPr>
            <w:tcW w:type="dxa" w:w="1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Detección Tardía</w:t>
            </w:r>
          </w:p>
        </w:tc>
        <w:tc>
          <w:tcPr>
            <w:tcW w:type="dxa" w:w="9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Día 30</w:t>
            </w:r>
          </w:p>
        </w:tc>
        <w:tc>
          <w:tcPr>
            <w:tcW w:type="dxa" w:w="1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56,674</w:t>
            </w:r>
          </w:p>
        </w:tc>
        <w:tc>
          <w:tcPr>
            <w:tcW w:type="dxa" w:w="1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$87.5M</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$1,201M</w:t>
            </w:r>
          </w:p>
        </w:tc>
        <w:tc>
          <w:tcPr>
            <w:tcW w:type="dxa" w:w="11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$1,288M</w:t>
            </w:r>
          </w:p>
        </w:tc>
        <w:tc>
          <w:tcPr>
            <w:tcW w:type="dxa" w:w="21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$53.96B (97.7%)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detección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Nunca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35,007,684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$54,052M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$55,253M</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0"/>
      </w:pPr>
    </w:p>
    <w:p>
      <w:pPr>
        <w:spacing w:after="120" w:before="60" w:line="360" w:lineRule="auto"/>
        <w:jc w:val="both"/>
      </w:pPr>
      <w:r>
        <w:rPr>
          <w:rFonts w:ascii="Arial" w:cs="Arial" w:eastAsia="Arial" w:hAnsi="Arial"/>
          <w:sz w:val="22"/>
          <w:szCs w:val="22"/>
        </w:rPr>
        <w:t xml:space="preserve">Nota metodológica: El cierre de exportaciones ($1,201M) se modela con un ramp-up escalonado de 4 fases basado en market shares verificados (USDA FAS GATS 2024: EE.UU. = ~90% del mercado bovino). Es un costo constante entre escenarios porque se activa con I₀ = 1. La columna 'Costo Sacrificio' es el verdadero costo variable. El horizonte de 150 días subestima el impacto real: la OMSA requiere 6-24 meses post-erradicación para recuperar estatus libre (Anderson, 2002).</w:t>
      </w:r>
    </w:p>
    <w:p>
      <w:pPr>
        <w:spacing w:after="80" w:before="0"/>
      </w:pPr>
    </w:p>
    <w:p>
      <w:pPr>
        <w:spacing w:after="120" w:before="60" w:line="360" w:lineRule="auto"/>
        <w:jc w:val="both"/>
      </w:pPr>
      <w:r>
        <w:rPr>
          <w:rFonts w:ascii="Arial" w:cs="Arial" w:eastAsia="Arial" w:hAnsi="Arial"/>
          <w:b/>
          <w:bCs/>
          <w:sz w:val="22"/>
          <w:szCs w:val="22"/>
        </w:rPr>
        <w:t xml:space="preserve">Hallazgos clave:</w:t>
      </w:r>
    </w:p>
    <w:p>
      <w:pPr>
        <w:spacing w:after="40" w:before="0"/>
      </w:pPr>
    </w:p>
    <w:p>
      <w:pPr>
        <w:pStyle w:val="ListParagraph"/>
        <w:numPr>
          <w:ilvl w:val="0"/>
          <w:numId w:val="3"/>
        </w:numPr>
        <w:spacing w:after="80" w:before="40" w:line="320" w:lineRule="auto"/>
        <w:jc w:val="both"/>
      </w:pPr>
      <w:r>
        <w:rPr>
          <w:rFonts w:ascii="Arial" w:cs="Arial" w:eastAsia="Arial" w:hAnsi="Arial"/>
          <w:sz w:val="22"/>
          <w:szCs w:val="22"/>
        </w:rPr>
        <w:t xml:space="preserve">Cada día cuenta exponencialmente: La diferencia entre detectar en el Día 3 (16 animales sacrificados) vs. el Día 30 (56,674) es de 3,542x — pero ambos siguen siendo manejables comparados con la catástrofe de no detectar (35 millones).</w:t>
      </w:r>
    </w:p>
    <w:p>
      <w:pPr>
        <w:pStyle w:val="ListParagraph"/>
        <w:numPr>
          <w:ilvl w:val="0"/>
          <w:numId w:val="3"/>
        </w:numPr>
        <w:spacing w:after="80" w:before="40" w:line="320" w:lineRule="auto"/>
        <w:jc w:val="both"/>
      </w:pPr>
      <w:r>
        <w:rPr>
          <w:rFonts w:ascii="Arial" w:cs="Arial" w:eastAsia="Arial" w:hAnsi="Arial"/>
          <w:sz w:val="22"/>
          <w:szCs w:val="22"/>
        </w:rPr>
        <w:t xml:space="preserve">El ROI de la vigilancia es astronómico: El costo anual del sistema de vigilancia epidemiológica de la CPA (~$20M USD estimados) evita pérdidas de $54 Billion USD. Eso es un ROI de 2,700:1.</w:t>
      </w:r>
    </w:p>
    <w:p>
      <w:pPr>
        <w:pStyle w:val="ListParagraph"/>
        <w:numPr>
          <w:ilvl w:val="0"/>
          <w:numId w:val="3"/>
        </w:numPr>
        <w:spacing w:after="80" w:before="40" w:line="320" w:lineRule="auto"/>
        <w:jc w:val="both"/>
      </w:pPr>
      <w:r>
        <w:rPr>
          <w:rFonts w:ascii="Arial" w:cs="Arial" w:eastAsia="Arial" w:hAnsi="Arial"/>
          <w:sz w:val="22"/>
          <w:szCs w:val="22"/>
        </w:rPr>
        <w:t xml:space="preserve">El cierre de exportaciones domina el costo en escenarios controlados: Incluso con detección en Día 3 (solo 16 animales), el cierre de exportaciones bovinas genera $1.20B en pérdidas. Este costo es inevitable una vez declarado I₀ = 1.</w:t>
      </w:r>
    </w:p>
    <w:p>
      <w:pPr>
        <w:spacing w:after="80" w:before="0"/>
      </w:pPr>
    </w:p>
    <w:p>
      <w:pPr>
        <w:spacing w:after="120" w:before="60" w:line="360" w:lineRule="auto"/>
        <w:jc w:val="both"/>
      </w:pPr>
      <w:r>
        <w:rPr>
          <w:rFonts w:ascii="Arial" w:cs="Arial" w:eastAsia="Arial" w:hAnsi="Arial"/>
          <w:b/>
          <w:bCs/>
          <w:sz w:val="22"/>
          <w:szCs w:val="22"/>
        </w:rPr>
        <w:t xml:space="preserve">Proxy comparativo con TB Bovina: </w:t>
      </w:r>
      <w:r>
        <w:rPr>
          <w:rFonts w:ascii="Arial" w:cs="Arial" w:eastAsia="Arial" w:hAnsi="Arial"/>
          <w:sz w:val="22"/>
          <w:szCs w:val="22"/>
        </w:rPr>
        <w:t xml:space="preserve">A modo de referencia, la TB Bovina (endémica, R₀ = 1.8) genera pérdidas de ~$7.8M USD en 12 meses sin detección. La FMD genera $55.3B USD en 5 meses — una diferencia de 7,000x.</w:t>
      </w:r>
    </w:p>
    <w:p>
      <w:pPr>
        <w:spacing w:after="120" w:before="120"/>
        <w:jc w:val="center"/>
      </w:pPr>
      <w:r>
        <w:drawing>
          <wp:inline distT="0" distB="0" distL="0" distR="0">
            <wp:extent cx="4457700" cy="1920240"/>
            <wp:effectExtent t="0" r="0" b="0" l="0"/>
            <wp:docPr id="1" name="contrafactual_fmd.png" descr="contrafactual_fmd.png" title="contrafactual_f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57700" cy="192024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Figura 13. Análisis de sensibilidad — Impacto del momento de detección en FMD (panel dual: escala completa + escala logarítmica).</w:t>
      </w:r>
    </w:p>
    <w:p>
      <w:pPr>
        <w:pStyle w:val="Heading1"/>
        <w:pageBreakBefore/>
        <w:spacing w:after="160" w:before="200"/>
      </w:pPr>
      <w:r>
        <w:rPr>
          <w:rFonts w:ascii="Arial" w:cs="Arial" w:eastAsia="Arial" w:hAnsi="Arial"/>
          <w:b/>
          <w:bCs/>
          <w:color w:val="9C223F"/>
          <w:sz w:val="36"/>
          <w:szCs w:val="36"/>
        </w:rPr>
        <w:t xml:space="preserve">7. Arquitectura Operativa Propuesta</w:t>
      </w:r>
    </w:p>
    <w:p>
      <w:pPr>
        <w:pStyle w:val="Heading2"/>
        <w:spacing w:after="100" w:before="200"/>
      </w:pPr>
      <w:r>
        <w:rPr>
          <w:rFonts w:ascii="Arial" w:cs="Arial" w:eastAsia="Arial" w:hAnsi="Arial"/>
          <w:b/>
          <w:bCs/>
          <w:color w:val="1A1A2E"/>
          <w:sz w:val="28"/>
          <w:szCs w:val="28"/>
        </w:rPr>
        <w:t xml:space="preserve">7.1 Protocolo SENASICA Actual (DINESA)</w:t>
      </w:r>
    </w:p>
    <w:p>
      <w:pPr>
        <w:spacing w:after="120" w:before="60" w:line="360" w:lineRule="auto"/>
        <w:jc w:val="both"/>
      </w:pPr>
      <w:r>
        <w:rPr>
          <w:rFonts w:ascii="Arial" w:cs="Arial" w:eastAsia="Arial" w:hAnsi="Arial"/>
          <w:sz w:val="22"/>
          <w:szCs w:val="22"/>
        </w:rPr>
        <w:t xml:space="preserve">Cuando existe sospecha de FMD, la CPA (Comisión México-Estados Unidos para la Prevención de la Fiebre Aftosa) coordina la respuesta:</w:t>
      </w:r>
    </w:p>
    <w:p>
      <w:pPr>
        <w:spacing w:after="40" w:before="0"/>
      </w:pPr>
    </w:p>
    <w:p>
      <w:pPr>
        <w:pStyle w:val="ListParagraph"/>
        <w:numPr>
          <w:ilvl w:val="0"/>
          <w:numId w:val="3"/>
        </w:numPr>
        <w:spacing w:after="80" w:before="40" w:line="320" w:lineRule="auto"/>
        <w:jc w:val="both"/>
      </w:pPr>
      <w:r>
        <w:rPr>
          <w:rFonts w:ascii="Arial" w:cs="Arial" w:eastAsia="Arial" w:hAnsi="Arial"/>
          <w:sz w:val="22"/>
          <w:szCs w:val="22"/>
        </w:rPr>
        <w:t xml:space="preserve">Veterinarios oficiales inspeccionan las lesiones.</w:t>
      </w:r>
    </w:p>
    <w:p>
      <w:pPr>
        <w:pStyle w:val="ListParagraph"/>
        <w:numPr>
          <w:ilvl w:val="0"/>
          <w:numId w:val="3"/>
        </w:numPr>
        <w:spacing w:after="80" w:before="40" w:line="320" w:lineRule="auto"/>
        <w:jc w:val="both"/>
      </w:pPr>
      <w:r>
        <w:rPr>
          <w:rFonts w:ascii="Arial" w:cs="Arial" w:eastAsia="Arial" w:hAnsi="Arial"/>
          <w:sz w:val="22"/>
          <w:szCs w:val="22"/>
        </w:rPr>
        <w:t xml:space="preserve">Se extraen muestras para un Laboratorio Nivel 3.</w:t>
      </w:r>
    </w:p>
    <w:p>
      <w:pPr>
        <w:pStyle w:val="ListParagraph"/>
        <w:numPr>
          <w:ilvl w:val="0"/>
          <w:numId w:val="3"/>
        </w:numPr>
        <w:spacing w:after="80" w:before="40" w:line="320" w:lineRule="auto"/>
        <w:jc w:val="both"/>
      </w:pPr>
      <w:r>
        <w:rPr>
          <w:rFonts w:ascii="Arial" w:cs="Arial" w:eastAsia="Arial" w:hAnsi="Arial"/>
          <w:sz w:val="22"/>
          <w:szCs w:val="22"/>
        </w:rPr>
        <w:t xml:space="preserve">Si positivo, se detona el DINESA (Dispositivo Nacional de Emergencia de Sanidad Animal).</w:t>
      </w:r>
    </w:p>
    <w:p>
      <w:pPr>
        <w:pStyle w:val="ListParagraph"/>
        <w:numPr>
          <w:ilvl w:val="0"/>
          <w:numId w:val="3"/>
        </w:numPr>
        <w:spacing w:after="80" w:before="40" w:line="320" w:lineRule="auto"/>
        <w:jc w:val="both"/>
      </w:pPr>
      <w:r>
        <w:rPr>
          <w:rFonts w:ascii="Arial" w:cs="Arial" w:eastAsia="Arial" w:hAnsi="Arial"/>
          <w:sz w:val="22"/>
          <w:szCs w:val="22"/>
        </w:rPr>
        <w:t xml:space="preserve">El Ejército y la Guardia Nacional clausuran fronteras estatales (Rifle Sanitario).</w:t>
      </w:r>
    </w:p>
    <w:p>
      <w:pPr>
        <w:pStyle w:val="Heading2"/>
        <w:spacing w:after="100" w:before="200"/>
      </w:pPr>
      <w:r>
        <w:rPr>
          <w:rFonts w:ascii="Arial" w:cs="Arial" w:eastAsia="Arial" w:hAnsi="Arial"/>
          <w:b/>
          <w:bCs/>
          <w:color w:val="1A1A2E"/>
          <w:sz w:val="28"/>
          <w:szCs w:val="28"/>
        </w:rPr>
        <w:t xml:space="preserve">7.2 El Cuello de Botella: El Productor Informal</w:t>
      </w:r>
    </w:p>
    <w:p>
      <w:pPr>
        <w:spacing w:after="120" w:before="60" w:line="360" w:lineRule="auto"/>
        <w:jc w:val="both"/>
      </w:pPr>
      <w:r>
        <w:rPr>
          <w:rFonts w:ascii="Arial" w:cs="Arial" w:eastAsia="Arial" w:hAnsi="Arial"/>
          <w:sz w:val="22"/>
          <w:szCs w:val="22"/>
        </w:rPr>
        <w:t xml:space="preserve">El problema no son los corporativos (SuKarne, Lala), sino los productores de traspatio. Ante el miedo al Rifle Sanitario y la burocracia de indemnización, el ganadero informal evade reportar e intenta vender vacas enfermas en tianguis y mercados negros. Este ocultamiento es el vector que habilita el R₀ = 6.0.</w:t>
      </w:r>
    </w:p>
    <w:p>
      <w:pPr>
        <w:pStyle w:val="Heading2"/>
        <w:spacing w:after="100" w:before="200"/>
      </w:pPr>
      <w:r>
        <w:rPr>
          <w:rFonts w:ascii="Arial" w:cs="Arial" w:eastAsia="Arial" w:hAnsi="Arial"/>
          <w:b/>
          <w:bCs/>
          <w:color w:val="1A1A2E"/>
          <w:sz w:val="28"/>
          <w:szCs w:val="28"/>
        </w:rPr>
        <w:t xml:space="preserve">7.3 Propuesta: Sistema de Inteligencia Epidémica Basado en Incentivos</w:t>
      </w:r>
    </w:p>
    <w:p>
      <w:pPr>
        <w:pStyle w:val="Heading3"/>
        <w:spacing w:after="80" w:before="160"/>
      </w:pPr>
      <w:r>
        <w:rPr>
          <w:rFonts w:ascii="Arial" w:cs="Arial" w:eastAsia="Arial" w:hAnsi="Arial"/>
          <w:b/>
          <w:bCs/>
          <w:color w:val="9C223F"/>
          <w:sz w:val="24"/>
          <w:szCs w:val="24"/>
        </w:rPr>
        <w:t xml:space="preserve">Para el Ganadero (App Móvil)</w:t>
      </w:r>
    </w:p>
    <w:p>
      <w:pPr>
        <w:spacing w:after="120" w:before="60" w:line="360" w:lineRule="auto"/>
        <w:jc w:val="both"/>
      </w:pPr>
      <w:r>
        <w:rPr>
          <w:rFonts w:ascii="Arial" w:cs="Arial" w:eastAsia="Arial" w:hAnsi="Arial"/>
          <w:sz w:val="22"/>
          <w:szCs w:val="22"/>
        </w:rPr>
        <w:t xml:space="preserve">Una aplicación cuyo gancho de entrada (Wedge) sean los precios diarios del mercado ganadero. Si una vaca presenta anomalías, la app ofrece un "Botón de Pánico" que captura coordenadas GeoJSON y detona un proceso de Indemnización Acelerada (pago en 72 horas). Esto destruye el incentivo del mercado negro.</w:t>
      </w:r>
    </w:p>
    <w:p>
      <w:pPr>
        <w:pStyle w:val="Heading3"/>
        <w:spacing w:after="80" w:before="160"/>
      </w:pPr>
      <w:r>
        <w:rPr>
          <w:rFonts w:ascii="Arial" w:cs="Arial" w:eastAsia="Arial" w:hAnsi="Arial"/>
          <w:b/>
          <w:bCs/>
          <w:color w:val="9C223F"/>
          <w:sz w:val="24"/>
          <w:szCs w:val="24"/>
        </w:rPr>
        <w:t xml:space="preserve">Para la Autoridad (Dashboard NoSQL)</w:t>
      </w:r>
    </w:p>
    <w:p>
      <w:pPr>
        <w:spacing w:after="120" w:before="60" w:line="360" w:lineRule="auto"/>
        <w:jc w:val="both"/>
      </w:pPr>
      <w:r>
        <w:rPr>
          <w:rFonts w:ascii="Arial" w:cs="Arial" w:eastAsia="Arial" w:hAnsi="Arial"/>
          <w:sz w:val="22"/>
          <w:szCs w:val="22"/>
        </w:rPr>
        <w:t xml:space="preserve">La CPA visualiza un panel basado en MongoDB. Si tres productores denuncian anomalías en un radio de 50 km en menos de 2 horas, el sistema dispara una Alerta Espacial de Enjambre y corre la simulación SIR en tiempo real para informar al Ejército en qué casetas deben plantarse.</w:t>
      </w:r>
    </w:p>
    <w:p>
      <w:pPr>
        <w:pStyle w:val="Heading1"/>
        <w:pageBreakBefore/>
        <w:spacing w:after="160" w:before="200"/>
      </w:pPr>
      <w:r>
        <w:rPr>
          <w:rFonts w:ascii="Arial" w:cs="Arial" w:eastAsia="Arial" w:hAnsi="Arial"/>
          <w:b/>
          <w:bCs/>
          <w:color w:val="9C223F"/>
          <w:sz w:val="36"/>
          <w:szCs w:val="36"/>
        </w:rPr>
        <w:t xml:space="preserve">8. Estado de Avance por Materia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626"/>
      </w:tblGrid>
      <w:tr>
        <w:tc>
          <w:tcPr>
            <w:tcW w:type="dxa" w:w="22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w:t>
            </w:r>
          </w:p>
        </w:tc>
        <w:tc>
          <w:tcPr>
            <w:tcW w:type="dxa" w:w="24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2626"/>
            <w:tcBorders>
              <w:top w:val="single" w:color="CCCCCC" w:sz="1"/>
              <w:left w:val="single" w:color="CCCCCC" w:sz="1"/>
              <w:bottom w:val="single" w:color="CCCCCC" w:sz="1"/>
              <w:right w:val="single" w:color="CCCCCC" w:sz="1"/>
            </w:tcBorders>
            <w:shd w:fill="9C22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Evidencia</w:t>
            </w:r>
          </w:p>
        </w:tc>
      </w:tr>
      <w:tr>
        <w:tc>
          <w:tcPr>
            <w:tcW w:type="dxa" w:w="2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Ecuaciones Diferenciales</w:t>
            </w:r>
          </w:p>
        </w:tc>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Modelo SIR Dual (TB vs FMD)</w:t>
            </w:r>
          </w:p>
        </w:tc>
        <w:tc>
          <w:tcPr>
            <w:tcW w:type="dxa" w:w="1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 Completado</w:t>
            </w:r>
          </w:p>
        </w:tc>
        <w:tc>
          <w:tcPr>
            <w:tcW w:type="dxa" w:w="26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sir_dual.py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Bases de Datos NoSQL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Warehouse CSV→JSON + Pydantic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csv_to_json.py</w:t>
            </w:r>
          </w:p>
        </w:tc>
      </w:tr>
      <w:tr>
        <w:tc>
          <w:tcPr>
            <w:tcW w:type="dxa" w:w="2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Estadística Multivariada</w:t>
            </w:r>
          </w:p>
        </w:tc>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EDA + ANOVA + Correlación</w:t>
            </w:r>
          </w:p>
        </w:tc>
        <w:tc>
          <w:tcPr>
            <w:tcW w:type="dxa" w:w="1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 Completado</w:t>
            </w:r>
          </w:p>
        </w:tc>
        <w:tc>
          <w:tcPr>
            <w:tcW w:type="dxa" w:w="26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notebooks/01-03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Inteligencia Artificial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Clasificador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En diseño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definidas</w:t>
            </w:r>
          </w:p>
        </w:tc>
      </w:tr>
      <w:tr>
        <w:tc>
          <w:tcPr>
            <w:tcW w:type="dxa" w:w="2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Criptografía</w:t>
            </w:r>
          </w:p>
        </w:tc>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Cifrado César + RSA</w:t>
            </w:r>
          </w:p>
        </w:tc>
        <w:tc>
          <w:tcPr>
            <w:tcW w:type="dxa" w:w="1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 En progreso</w:t>
            </w:r>
          </w:p>
        </w:tc>
        <w:tc>
          <w:tcPr>
            <w:tcW w:type="dxa" w:w="26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Tarea delegada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Finanzas Corporativas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Modelos impacto TB + FMD + Contrafactual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fmd_finance_addendum.py</w:t>
            </w:r>
          </w:p>
        </w:tc>
      </w:tr>
      <w:tr>
        <w:tc>
          <w:tcPr>
            <w:tcW w:type="dxa" w:w="22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Innovación Social</w:t>
            </w:r>
          </w:p>
        </w:tc>
        <w:tc>
          <w:tcPr>
            <w:tcW w:type="dxa" w:w="24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App + Dashboard + DINESA</w:t>
            </w:r>
          </w:p>
        </w:tc>
        <w:tc>
          <w:tcPr>
            <w:tcW w:type="dxa" w:w="1800"/>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 Conceptualizado</w:t>
            </w:r>
          </w:p>
        </w:tc>
        <w:tc>
          <w:tcPr>
            <w:tcW w:type="dxa" w:w="2626"/>
            <w:tcBorders>
              <w:top w:val="single" w:color="CCCCCC" w:sz="1"/>
              <w:left w:val="single" w:color="CCCCCC" w:sz="1"/>
              <w:bottom w:val="single" w:color="CCCCCC" w:sz="1"/>
              <w:right w:val="single" w:color="CCCCCC" w:sz="1"/>
            </w:tcBorders>
            <w:shd w:fill="F8F4F0" w:val="clear"/>
            <w:tcMar>
              <w:top w:type="dxa" w:w="80"/>
              <w:left w:type="dxa" w:w="120"/>
              <w:bottom w:type="dxa" w:w="80"/>
              <w:right w:type="dxa" w:w="120"/>
            </w:tcMar>
          </w:tcPr>
          <w:p>
            <w:r>
              <w:rPr>
                <w:rFonts w:ascii="Arial" w:cs="Arial" w:eastAsia="Arial" w:hAnsi="Arial"/>
                <w:sz w:val="20"/>
                <w:szCs w:val="20"/>
              </w:rPr>
              <w:t xml:space="preserve">Sección 7</w:t>
            </w:r>
          </w:p>
        </w:tc>
      </w:tr>
    </w:tbl>
    <w:p>
      <w:pPr>
        <w:pStyle w:val="Heading1"/>
        <w:pageBreakBefore/>
        <w:spacing w:after="160" w:before="200"/>
      </w:pPr>
      <w:r>
        <w:rPr>
          <w:rFonts w:ascii="Arial" w:cs="Arial" w:eastAsia="Arial" w:hAnsi="Arial"/>
          <w:b/>
          <w:bCs/>
          <w:color w:val="9C223F"/>
          <w:sz w:val="36"/>
          <w:szCs w:val="36"/>
        </w:rPr>
        <w:t xml:space="preserve">9. Bibliografía</w:t>
      </w:r>
    </w:p>
    <w:p>
      <w:pPr>
        <w:spacing w:after="120" w:before="60" w:line="360" w:lineRule="auto"/>
        <w:jc w:val="both"/>
      </w:pPr>
      <w:r>
        <w:rPr>
          <w:rFonts w:ascii="Arial" w:cs="Arial" w:eastAsia="Arial" w:hAnsi="Arial"/>
          <w:sz w:val="22"/>
          <w:szCs w:val="22"/>
        </w:rPr>
        <w:t xml:space="preserve">Anderson, I. (2002). Foot and Mouth Disease 2001: Lessons to be Learned Inquiry Report. The Stationery Office, London.</w:t>
      </w:r>
    </w:p>
    <w:p>
      <w:pPr>
        <w:spacing w:after="120" w:before="60" w:line="360" w:lineRule="auto"/>
        <w:jc w:val="both"/>
      </w:pPr>
      <w:r>
        <w:rPr>
          <w:rFonts w:ascii="Arial" w:cs="Arial" w:eastAsia="Arial" w:hAnsi="Arial"/>
          <w:sz w:val="22"/>
          <w:szCs w:val="22"/>
        </w:rPr>
        <w:t xml:space="preserve">Barlow, N.D. (1991). A spatially aggregated disease/host model for bovine Tb in New Zealand possum populations. Journal of Applied Ecology, 28(3), 777-793.</w:t>
      </w:r>
    </w:p>
    <w:p>
      <w:pPr>
        <w:spacing w:after="120" w:before="60" w:line="360" w:lineRule="auto"/>
        <w:jc w:val="both"/>
      </w:pPr>
      <w:r>
        <w:rPr>
          <w:rFonts w:ascii="Arial" w:cs="Arial" w:eastAsia="Arial" w:hAnsi="Arial"/>
          <w:sz w:val="22"/>
          <w:szCs w:val="22"/>
        </w:rPr>
        <w:t xml:space="preserve">Brauer, F., &amp; Castillo-Chávez, C. (2012). Mathematical Models in Population Biology and Epidemiology. Springer.</w:t>
      </w:r>
    </w:p>
    <w:p>
      <w:pPr>
        <w:spacing w:after="120" w:before="60" w:line="360" w:lineRule="auto"/>
        <w:jc w:val="both"/>
      </w:pPr>
      <w:r>
        <w:rPr>
          <w:rFonts w:ascii="Arial" w:cs="Arial" w:eastAsia="Arial" w:hAnsi="Arial"/>
          <w:sz w:val="22"/>
          <w:szCs w:val="22"/>
        </w:rPr>
        <w:t xml:space="preserve">Dukes, J.P. et al. (2006). A reverse-transcription loop-mediated isothermal amplification (RT-LAMP) assay for the detection of foot-and-mouth disease virus. Journal of Virological Methods, 138(1-2), 18-26.</w:t>
      </w:r>
    </w:p>
    <w:p>
      <w:pPr>
        <w:spacing w:after="120" w:before="60" w:line="360" w:lineRule="auto"/>
        <w:jc w:val="both"/>
      </w:pPr>
      <w:r>
        <w:rPr>
          <w:rFonts w:ascii="Arial" w:cs="Arial" w:eastAsia="Arial" w:hAnsi="Arial"/>
          <w:sz w:val="22"/>
          <w:szCs w:val="22"/>
        </w:rPr>
        <w:t xml:space="preserve">FAO. (2026). Update on Foot-and-Mouth Disease outbreaks in Europe and the Near East. Organización de las Naciones Unidas para la Alimentación y la Agricultura.</w:t>
      </w:r>
    </w:p>
    <w:p>
      <w:pPr>
        <w:spacing w:after="120" w:before="60" w:line="360" w:lineRule="auto"/>
        <w:jc w:val="both"/>
      </w:pPr>
      <w:r>
        <w:rPr>
          <w:rFonts w:ascii="Arial" w:cs="Arial" w:eastAsia="Arial" w:hAnsi="Arial"/>
          <w:sz w:val="22"/>
          <w:szCs w:val="22"/>
        </w:rPr>
        <w:t xml:space="preserve">Kermack, W. O., &amp; McKendrick, A. G. (1927). A contribution to the mathematical theory of epidemics. Proceedings of the Royal Society of London A, 115(772), 700-721.</w:t>
      </w:r>
    </w:p>
    <w:p>
      <w:pPr>
        <w:spacing w:after="120" w:before="60" w:line="360" w:lineRule="auto"/>
        <w:jc w:val="both"/>
      </w:pPr>
      <w:r>
        <w:rPr>
          <w:rFonts w:ascii="Arial" w:cs="Arial" w:eastAsia="Arial" w:hAnsi="Arial"/>
          <w:sz w:val="22"/>
          <w:szCs w:val="22"/>
        </w:rPr>
        <w:t xml:space="preserve">Knight-Jones, T.J.D. &amp; Rushton, J. (2013). The economic impacts of foot and mouth disease — What are they, how big, and where do they occur? Preventive Veterinary Medicine, 112(3-4), 161-173.</w:t>
      </w:r>
    </w:p>
    <w:p>
      <w:pPr>
        <w:spacing w:after="120" w:before="60" w:line="360" w:lineRule="auto"/>
        <w:jc w:val="both"/>
      </w:pPr>
      <w:r>
        <w:rPr>
          <w:rFonts w:ascii="Arial" w:cs="Arial" w:eastAsia="Arial" w:hAnsi="Arial"/>
          <w:sz w:val="22"/>
          <w:szCs w:val="22"/>
        </w:rPr>
        <w:t xml:space="preserve">Knowles, N. J. &amp; Samuel, A. R. (2003). Molecular epidemiology of foot-and-mouth disease virus. Virus Research, 91(1), 65-80.</w:t>
      </w:r>
    </w:p>
    <w:p>
      <w:pPr>
        <w:spacing w:after="120" w:before="60" w:line="360" w:lineRule="auto"/>
        <w:jc w:val="both"/>
      </w:pPr>
      <w:r>
        <w:rPr>
          <w:rFonts w:ascii="Arial" w:cs="Arial" w:eastAsia="Arial" w:hAnsi="Arial"/>
          <w:sz w:val="22"/>
          <w:szCs w:val="22"/>
        </w:rPr>
        <w:t xml:space="preserve">OIE. (2023). Manual of Diagnostic Tests and Vaccines for Terrestrial Animals, Chapter 3.1.8: Foot and Mouth Disease; Chapter 3.4.6: Bovine Tuberculosis. World Organisation for Animal Health.</w:t>
      </w:r>
    </w:p>
    <w:p>
      <w:pPr>
        <w:spacing w:after="120" w:before="60" w:line="360" w:lineRule="auto"/>
        <w:jc w:val="both"/>
      </w:pPr>
      <w:r>
        <w:rPr>
          <w:rFonts w:ascii="Arial" w:cs="Arial" w:eastAsia="Arial" w:hAnsi="Arial"/>
          <w:sz w:val="22"/>
          <w:szCs w:val="22"/>
        </w:rPr>
        <w:t xml:space="preserve">PANAFTOSA / OPS. (2024). Centro Panamericano de Fiebre Aftosa y Salud Pública Veterinaria — Materiales de Referencia. Organización Panamericana de la Salud.</w:t>
      </w:r>
    </w:p>
    <w:p>
      <w:pPr>
        <w:spacing w:after="120" w:before="60" w:line="360" w:lineRule="auto"/>
        <w:jc w:val="both"/>
      </w:pPr>
      <w:r>
        <w:rPr>
          <w:rFonts w:ascii="Arial" w:cs="Arial" w:eastAsia="Arial" w:hAnsi="Arial"/>
          <w:sz w:val="22"/>
          <w:szCs w:val="22"/>
        </w:rPr>
        <w:t xml:space="preserve">Rahman, M. A., &amp; Samad, M. A. (2009). Effect of bovine tuberculosis on milk production. Bangladesh Journal of Veterinary Medicine, 7(2), 287-290.</w:t>
      </w:r>
    </w:p>
    <w:p>
      <w:pPr>
        <w:spacing w:after="120" w:before="60" w:line="360" w:lineRule="auto"/>
        <w:jc w:val="both"/>
      </w:pPr>
      <w:r>
        <w:rPr>
          <w:rFonts w:ascii="Arial" w:cs="Arial" w:eastAsia="Arial" w:hAnsi="Arial"/>
          <w:sz w:val="22"/>
          <w:szCs w:val="22"/>
        </w:rPr>
        <w:t xml:space="preserve">Reid, S. M. et al. (2003). Detection of all seven serotypes of foot-and-mouth disease virus by real-time, fluorogenic reverse transcription polymerase chain reaction assay. Journal of Virological Methods, 105(1), 67-80.</w:t>
      </w:r>
    </w:p>
    <w:p>
      <w:pPr>
        <w:spacing w:after="120" w:before="60" w:line="360" w:lineRule="auto"/>
        <w:jc w:val="both"/>
      </w:pPr>
      <w:r>
        <w:rPr>
          <w:rFonts w:ascii="Arial" w:cs="Arial" w:eastAsia="Arial" w:hAnsi="Arial"/>
          <w:sz w:val="22"/>
          <w:szCs w:val="22"/>
        </w:rPr>
        <w:t xml:space="preserve">SENASICA. (2024). Boletín Trimestral de Cuarentenas de Tuberculosis Bovina. Servicio Nacional de Sanidad, Inocuidad y Calidad Agroalimentaria.</w:t>
      </w:r>
    </w:p>
    <w:p>
      <w:pPr>
        <w:spacing w:after="120" w:before="60" w:line="360" w:lineRule="auto"/>
        <w:jc w:val="both"/>
      </w:pPr>
      <w:r>
        <w:rPr>
          <w:rFonts w:ascii="Arial" w:cs="Arial" w:eastAsia="Arial" w:hAnsi="Arial"/>
          <w:sz w:val="22"/>
          <w:szCs w:val="22"/>
        </w:rPr>
        <w:t xml:space="preserve">SIAP. (2024). Panorama Agroalimentario 2024. Servicio de Información Agroalimentaria y Pesquera, México.</w:t>
      </w:r>
    </w:p>
    <w:p>
      <w:pPr>
        <w:spacing w:after="120" w:before="60" w:line="360" w:lineRule="auto"/>
        <w:jc w:val="both"/>
      </w:pPr>
      <w:r>
        <w:rPr>
          <w:rFonts w:ascii="Arial" w:cs="Arial" w:eastAsia="Arial" w:hAnsi="Arial"/>
          <w:sz w:val="22"/>
          <w:szCs w:val="22"/>
        </w:rPr>
        <w:t xml:space="preserve">SNIIM. (2024). Cuadro Comparativo Anual Nacional — Bovinos en Pie. Sistema Nacional de Información e Integración de Mercados, Secretaría de Economía.</w:t>
      </w:r>
    </w:p>
    <w:p>
      <w:pPr>
        <w:spacing w:after="120" w:before="60" w:line="360" w:lineRule="auto"/>
        <w:jc w:val="both"/>
      </w:pPr>
      <w:r>
        <w:rPr>
          <w:rFonts w:ascii="Arial" w:cs="Arial" w:eastAsia="Arial" w:hAnsi="Arial"/>
          <w:sz w:val="22"/>
          <w:szCs w:val="22"/>
        </w:rPr>
        <w:t xml:space="preserve">Tildesley, M. J. et al. (2006). Optimal reactive vaccination strategies for a foot-and-mouth disease outbreak in the UK. Nature, 440, 83-86.</w:t>
      </w:r>
    </w:p>
    <w:p>
      <w:pPr>
        <w:spacing w:after="120" w:before="60" w:line="360" w:lineRule="auto"/>
        <w:jc w:val="both"/>
      </w:pPr>
      <w:r>
        <w:rPr>
          <w:rFonts w:ascii="Arial" w:cs="Arial" w:eastAsia="Arial" w:hAnsi="Arial"/>
          <w:sz w:val="22"/>
          <w:szCs w:val="22"/>
        </w:rPr>
        <w:t xml:space="preserve">USDA ERS. (2024). Mexico Livestock and Products Annual — Live Cattle and Beef Trade Statistics. United States Department of Agriculture, Economic Research Service.</w:t>
      </w:r>
    </w:p>
    <w:p>
      <w:pPr>
        <w:spacing w:after="120" w:before="60" w:line="360" w:lineRule="auto"/>
        <w:jc w:val="both"/>
      </w:pPr>
      <w:r>
        <w:rPr>
          <w:rFonts w:ascii="Arial" w:cs="Arial" w:eastAsia="Arial" w:hAnsi="Arial"/>
          <w:sz w:val="22"/>
          <w:szCs w:val="22"/>
        </w:rPr>
        <w:t xml:space="preserve">WOAH. (2026). Emergence of FMD Serotype SAT1 in the Golan region: Regional implications. Organización Mundial de Sanidad Animal.</w:t>
      </w:r>
    </w:p>
    <w:p>
      <w:pPr>
        <w:spacing w:after="120" w:before="60" w:line="360" w:lineRule="auto"/>
        <w:jc w:val="both"/>
      </w:pPr>
      <w:r>
        <w:rPr>
          <w:rFonts w:ascii="Arial" w:cs="Arial" w:eastAsia="Arial" w:hAnsi="Arial"/>
          <w:sz w:val="22"/>
          <w:szCs w:val="22"/>
        </w:rPr>
        <w:t xml:space="preserve">WRLFMD / openFMD. (2025). World Reference Laboratory for Foot-and-Mouth Disease — Open Data Portal. The Pirbright Institute.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223F" w:sz="4" w:space="1"/>
      </w:pBdr>
      <w:jc w:val="center"/>
    </w:pPr>
    <w:r>
      <w:rPr>
        <w:rFonts w:ascii="Arial" w:cs="Arial" w:eastAsia="Arial" w:hAnsi="Arial"/>
        <w:color w:val="1A1A2E"/>
        <w:sz w:val="18"/>
        <w:szCs w:val="18"/>
      </w:rPr>
      <w:t xml:space="preserve">Página </w:t>
    </w:r>
    <w:r>
      <w:rPr>
        <w:rFonts w:ascii="Arial" w:cs="Arial" w:eastAsia="Arial" w:hAnsi="Arial"/>
        <w:color w:val="9C223F"/>
        <w:sz w:val="18"/>
        <w:szCs w:val="18"/>
      </w:rPr>
      <w:fldChar w:fldCharType="begin"/>
      <w:instrText xml:space="preserve">PAGE</w:instrText>
      <w:fldChar w:fldCharType="separate"/>
      <w:fldChar w:fldCharType="end"/>
    </w:r>
    <w:r>
      <w:rPr>
        <w:rFonts w:ascii="Arial" w:cs="Arial" w:eastAsia="Arial" w:hAnsi="Arial"/>
        <w:color w:val="1A1A2E"/>
        <w:sz w:val="18"/>
        <w:szCs w:val="18"/>
      </w:rPr>
      <w:t xml:space="preserve"> de </w:t>
    </w:r>
    <w:r>
      <w:rPr>
        <w:rFonts w:ascii="Arial" w:cs="Arial" w:eastAsia="Arial" w:hAnsi="Arial"/>
        <w:color w:val="1A1A2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jc w:val="right"/>
    </w:pPr>
    <w:r>
      <w:rPr>
        <w:rFonts w:ascii="Arial" w:cs="Arial" w:eastAsia="Arial" w:hAnsi="Arial"/>
        <w:i/>
        <w:iCs/>
        <w:color w:val="9C223F"/>
        <w:sz w:val="18"/>
        <w:szCs w:val="18"/>
      </w:rPr>
      <w:t xml:space="preserve">Ganado Saludable — Segundo Avance  |  UNRC 2026-1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9C223F"/>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160"/>
      <w:outlineLvl w:val="2"/>
    </w:pPr>
    <w:rPr>
      <w:rFonts w:ascii="Arial" w:cs="Arial" w:eastAsia="Arial" w:hAnsi="Arial"/>
      <w:b/>
      <w:bCs/>
      <w:color w:val="9C22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8cf2cbb5725f17b893707f0d271b7b29cc2015.png"/><Relationship Id="rId10" Type="http://schemas.openxmlformats.org/officeDocument/2006/relationships/image" Target="media/7a67afd4cf5452a4b2aeef8e3604a797e3346549.png"/><Relationship Id="rId11" Type="http://schemas.openxmlformats.org/officeDocument/2006/relationships/image" Target="media/ce631b64c7ef1ac7371dc6a793e0da49cb764d56.png"/><Relationship Id="rId12" Type="http://schemas.openxmlformats.org/officeDocument/2006/relationships/image" Target="media/e18af9bb5090645bbba5501f6722ccc71b04b8c2.png"/><Relationship Id="rId13" Type="http://schemas.openxmlformats.org/officeDocument/2006/relationships/image" Target="media/6fe58b57806db79b229f47f1191e29211ec44741.png"/><Relationship Id="rId14" Type="http://schemas.openxmlformats.org/officeDocument/2006/relationships/image" Target="media/28e9d29bdb26169071618efc7ade08764c9979c2.png"/><Relationship Id="rId15" Type="http://schemas.openxmlformats.org/officeDocument/2006/relationships/image" Target="media/a29221637b614fb52750b9039ec3fa059d2ddb60.png"/><Relationship Id="rId16" Type="http://schemas.openxmlformats.org/officeDocument/2006/relationships/image" Target="media/dfa89e9851cc03b24edd4879114a279d1ee0324a.png"/><Relationship Id="rId17" Type="http://schemas.openxmlformats.org/officeDocument/2006/relationships/image" Target="media/d58622118a8a84eb830d22d6bc5e978405670825.png"/><Relationship Id="rId18" Type="http://schemas.openxmlformats.org/officeDocument/2006/relationships/image" Target="media/16c03caf6285c06b3e622ee71429f447c15e02f2.png"/><Relationship Id="rId19" Type="http://schemas.openxmlformats.org/officeDocument/2006/relationships/image" Target="media/ddfe666b0c60664dad35dbb1202d3d356401f5cc.png"/><Relationship Id="rId20" Type="http://schemas.openxmlformats.org/officeDocument/2006/relationships/image" Target="media/eed5b6adf32a9304b30126f9f20379ee77176b76.png"/><Relationship Id="rId21" Type="http://schemas.openxmlformats.org/officeDocument/2006/relationships/image" Target="media/3c82dd95e412081cb78425136ef94f48b8370ca2.png"/><Relationship Id="rId22" Type="http://schemas.openxmlformats.org/officeDocument/2006/relationships/image" Target="media/06b58b67136ea580299504b04a62a839e7fd03d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2026-05-07T18:04:46.113Z</dcterms:created>
  <dcterms:modified xsi:type="dcterms:W3CDTF">2026-05-07T18:04:46.122Z</dcterms:modified>
</cp:coreProperties>
</file>

<file path=docProps/custom.xml><?xml version="1.0" encoding="utf-8"?>
<Properties xmlns="http://schemas.openxmlformats.org/officeDocument/2006/custom-properties" xmlns:vt="http://schemas.openxmlformats.org/officeDocument/2006/docPropsVTypes"/>
</file>