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 Billion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($52.8B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de exportaciones bovinas por la OMSA.</w:t>
      </w:r>
    </w:p>
    <w:p>
      <w:pPr>
        <w:spacing w:after="40" w:before="0"/>
      </w:pPr>
    </w:p>
    <w:p>
      <w:pPr>
        <w:spacing w:after="120" w:before="60" w:line="360" w:lineRule="auto"/>
        <w:jc w:val="both"/>
      </w:pPr>
      <w:r>
        <w:rPr>
          <w:rFonts w:ascii="Arial" w:cs="Arial" w:eastAsia="Arial" w:hAnsi="Arial"/>
          <w:b/>
          <w:bCs/>
          <w:sz w:val="22"/>
          <w:szCs w:val="22"/>
        </w:rPr>
        <w:t xml:space="preserve">Modelo de cierre de exportaciones: </w:t>
      </w:r>
      <w:r>
        <w:rPr>
          <w:rFonts w:ascii="Arial" w:cs="Arial" w:eastAsia="Arial" w:hAnsi="Arial"/>
          <w:sz w:val="22"/>
          <w:szCs w:val="22"/>
        </w:rPr>
        <w:t xml:space="preserve">El bloqueo comercial no es instantáneo. Se implementó un modelo escalonado basado en los tiempos de reacción documentados de los socios comerciales: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gridCol w:w="1100"/>
        <w:gridCol w:w="43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Fase</w:t>
            </w:r>
          </w:p>
        </w:tc>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Días</w:t>
            </w:r>
          </w:p>
        </w:tc>
        <w:tc>
          <w:tcPr>
            <w:tcW w:type="dxa" w:w="1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Cerrado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Pérdida/día</w:t>
            </w:r>
          </w:p>
        </w:tc>
        <w:tc>
          <w:tcPr>
            <w:tcW w:type="dxa" w:w="4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Descripción</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Sospecha</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Muestras al BSL-3, sin notificación OMSA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Confirmación + EE.UU.</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62%</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RT-PCR → notificación OMSA → EE.UU. cierra ~48h</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Reacción global</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8-14</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90%</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$7.4M</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Japón, Corea del Sur, UE cierran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Cierre total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$8.2M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Bloqueo completo de exportaciones bovinas</w:t>
            </w:r>
          </w:p>
        </w:tc>
      </w:tr>
    </w:tbl>
    <w:p>
      <w:pPr>
        <w:spacing w:after="40" w:before="0"/>
      </w:pPr>
    </w:p>
    <w:p>
      <w:pPr>
        <w:spacing w:after="120" w:before="60" w:line="360" w:lineRule="auto"/>
        <w:jc w:val="both"/>
      </w:pPr>
      <w:r>
        <w:rPr>
          <w:rFonts w:ascii="Arial" w:cs="Arial" w:eastAsia="Arial" w:hAnsi="Arial"/>
          <w:sz w:val="22"/>
          <w:szCs w:val="22"/>
        </w:rPr>
        <w:t xml:space="preserve">Fuente del mercado: Exportaciones bovinas de México: $1,015M (ganado vivo) + $1,700M (carne de res) + ~$285M (subproductos) = ~$3,000M USD/año (USDA ERS 2024 / GCMA). Se refiere exclusivamente al sector bovino, no a toda la agricultura.</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$203,196,000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$206,152,436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$13,950,567,594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$47,745,452,623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$52,079,828,249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$52,779,041,106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Mes 1 muestra un cierre de exportaciones menor ($203M vs $246M) debido al modelo escalonado: los primeros 3 días son de sospecha sin notificación oficial. A 5 meses, la pérdida acumulada alcanza $52.8 Billion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£8B (~$12B USD), con 6.5 millones de animales sacrificados y £1.3B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 Cierre de exportaciones con modelo escalonado de 4 fases.</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200"/>
        <w:gridCol w:w="1100"/>
        <w:gridCol w:w="1100"/>
        <w:gridCol w:w="2126"/>
      </w:tblGrid>
      <w:tr>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9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Sacrificio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w:t>
            </w:r>
          </w:p>
        </w:tc>
        <w:tc>
          <w:tcPr>
            <w:tcW w:type="dxa" w:w="21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$0.03M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$1,187M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$1,187M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$54.05B (97.9%)</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$1,187M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$1,188M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$87.5M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$1,187M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$1,275M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$53.96B (97.7%)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$54,052M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$1,187M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$55,239M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sz w:val="22"/>
          <w:szCs w:val="22"/>
        </w:rPr>
        <w:t xml:space="preserve">Nota metodológica: El cierre de exportaciones ($1,187M) se modela con un ramp-up escalonado de 4 fases, no como pérdida instantánea. Es un costo constante entre escenarios porque se activa con I₀ = 1 independientemente del día de detección. La columna "Costo Sacrificio" es el verdadero costo variable que la detección temprana controla. Adicionalmente, el horizonte de 150 días subestima el impacto real, ya que la recuperación del estatus sanitario ante la OMSA requiere entre 6 y 24 meses adicionales post-erradicación (Anderson, 2002).</w:t>
      </w:r>
    </w:p>
    <w:p>
      <w:pPr>
        <w:spacing w:after="80" w:before="0"/>
      </w:pPr>
    </w:p>
    <w:p>
      <w:pPr>
        <w:spacing w:after="120" w:before="60" w:line="360" w:lineRule="auto"/>
        <w:jc w:val="both"/>
      </w:pPr>
      <w:r>
        <w:rPr>
          <w:rFonts w:ascii="Arial" w:cs="Arial" w:eastAsia="Arial" w:hAnsi="Arial"/>
          <w:b/>
          <w:bCs/>
          <w:sz w:val="22"/>
          <w:szCs w:val="22"/>
        </w:rPr>
        <w:t xml:space="preserve">Hallazgos clave:</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La diferencia entre detectar en el Día 3 (16 animales sacrificados) vs. el Día 30 (56,674) es de 3,542x — pero ambos siguen siendo manejables comparados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El costo anual del sistema de vigilancia epidemiológica de la CPA (~$20M USD estimados) evita pérdidas de $54 Billion USD. Eso es un ROI de 2,700:1.</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en escenarios controlados: Incluso con detección en Día 3 (solo 16 animales), el cierre de exportaciones bovinas genera $1.19B en pérdidas. Este costo es inevitable una vez declarado I₀ = 1, lo que refuerza que la única defensa real es la prevención absoluta.</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w:t>
      </w:r>
      <w:r>
        <w:rPr>
          <w:rFonts w:ascii="Arial" w:cs="Arial" w:eastAsia="Arial" w:hAnsi="Arial"/>
          <w:sz w:val="22"/>
          <w:szCs w:val="22"/>
        </w:rPr>
        <w:t xml:space="preserve">A modo de referencia, la TB Bovina (endémica, R₀ = 1.8) genera pérdidas de ~$7.8M USD en 12 meses sin detección. La FMD genera $55.2B USD en 5 meses — una diferencia de 7,000x. Esto valida la decisión estratégica de usar TB como proxy de calibración: si el modelo funciona para el "sangrado silencioso" de TB, está preparado para el "colapso nuclear" de FMD.</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d13f5278c9ce2124e3102a6976c749935766a650.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2026-05-07T16:04:48.145Z</dcterms:created>
  <dcterms:modified xsi:type="dcterms:W3CDTF">2026-05-07T16:04:48.152Z</dcterms:modified>
</cp:coreProperties>
</file>

<file path=docProps/custom.xml><?xml version="1.0" encoding="utf-8"?>
<Properties xmlns="http://schemas.openxmlformats.org/officeDocument/2006/custom-properties" xmlns:vt="http://schemas.openxmlformats.org/officeDocument/2006/docPropsVTypes"/>
</file>