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pPr>
    </w:p>
    <w:p>
      <w:pPr>
        <w:pBdr>
          <w:bottom w:val="single" w:color="9C223F" w:sz="12" w:space="1"/>
        </w:pBdr>
        <w:spacing w:after="0"/>
        <w:jc w:val="center"/>
      </w:pPr>
    </w:p>
    <w:p>
      <w:pPr>
        <w:spacing w:after="400" w:before="0"/>
      </w:pPr>
    </w:p>
    <w:p>
      <w:pPr>
        <w:spacing w:after="80" w:before="200"/>
        <w:jc w:val="center"/>
      </w:pPr>
      <w:r>
        <w:rPr>
          <w:rFonts w:ascii="Arial" w:cs="Arial" w:eastAsia="Arial" w:hAnsi="Arial"/>
          <w:b/>
          <w:bCs/>
          <w:color w:val="9C223F"/>
          <w:sz w:val="52"/>
          <w:szCs w:val="52"/>
        </w:rPr>
        <w:t xml:space="preserve">GANADO SALUDABLE</w:t>
      </w:r>
    </w:p>
    <w:p>
      <w:pPr>
        <w:spacing w:after="40" w:before="0"/>
        <w:jc w:val="center"/>
      </w:pPr>
      <w:r>
        <w:rPr>
          <w:rFonts w:ascii="Arial" w:cs="Arial" w:eastAsia="Arial" w:hAnsi="Arial"/>
          <w:color w:val="1A1A2E"/>
          <w:sz w:val="28"/>
          <w:szCs w:val="28"/>
        </w:rPr>
        <w:t xml:space="preserve">Sistema Integral de Auditoría Epidemiológica Bovina</w:t>
      </w:r>
    </w:p>
    <w:p>
      <w:pPr>
        <w:spacing w:after="200" w:before="0"/>
      </w:pPr>
    </w:p>
    <w:p>
      <w:pPr>
        <w:pBdr>
          <w:bottom w:val="single" w:color="C9A84C" w:sz="6" w:space="1"/>
        </w:pBdr>
        <w:spacing w:after="0"/>
        <w:jc w:val="center"/>
      </w:pPr>
    </w:p>
    <w:p>
      <w:pPr>
        <w:spacing w:after="400" w:before="0"/>
      </w:pPr>
    </w:p>
    <w:p>
      <w:pPr>
        <w:spacing w:after="200" w:before="80"/>
        <w:jc w:val="center"/>
      </w:pPr>
      <w:r>
        <w:rPr>
          <w:rFonts w:ascii="Arial" w:cs="Arial" w:eastAsia="Arial" w:hAnsi="Arial"/>
          <w:b/>
          <w:bCs/>
          <w:color w:val="C9A84C"/>
          <w:sz w:val="32"/>
          <w:szCs w:val="32"/>
        </w:rPr>
        <w:t xml:space="preserve">SEGUNDO AVANCE — REPORTE DE EJECUCIÓN</w:t>
      </w:r>
    </w:p>
    <w:p>
      <w:pPr>
        <w:spacing w:after="4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Universidad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Universidad Nacional "Rosario Castellanos"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Carrera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Licenciatura en Ciencias de Datos para Negocios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Semestre</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4° — 2026-1</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Enfermedad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Fiebre Aftosa (FMD) | Proxy: Tuberculosis Bovina</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Fecha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30 de abril de 2026</w:t>
            </w:r>
          </w:p>
        </w:tc>
      </w:tr>
    </w:tbl>
    <w:p>
      <w:pPr>
        <w:spacing w:after="800" w:before="0"/>
      </w:pPr>
    </w:p>
    <w:p>
      <w:pPr>
        <w:pBdr>
          <w:top w:val="single" w:color="C9A84C" w:sz="4" w:space="1"/>
        </w:pBdr>
        <w:spacing w:before="200"/>
        <w:jc w:val="center"/>
      </w:pPr>
    </w:p>
    <w:p>
      <w:pPr>
        <w:spacing w:before="80"/>
        <w:jc w:val="center"/>
      </w:pPr>
      <w:r>
        <w:rPr>
          <w:rFonts w:ascii="Arial" w:cs="Arial" w:eastAsia="Arial" w:hAnsi="Arial"/>
          <w:i/>
          <w:iCs/>
          <w:color w:val="999999"/>
          <w:sz w:val="16"/>
          <w:szCs w:val="16"/>
        </w:rPr>
        <w:t xml:space="preserve">Documento generado programáticamente con docx-js</w:t>
      </w:r>
    </w:p>
    <w:p>
      <w:r>
        <w:br w:type="page"/>
      </w:r>
    </w:p>
    <w:p>
      <w:pPr>
        <w:pStyle w:val="Heading1"/>
        <w:spacing w:after="200" w:before="200"/>
      </w:pPr>
      <w:r>
        <w:rPr>
          <w:rFonts w:ascii="Arial" w:cs="Arial" w:eastAsia="Arial" w:hAnsi="Arial"/>
          <w:b/>
          <w:bCs/>
          <w:color w:val="9C223F"/>
          <w:sz w:val="36"/>
          <w:szCs w:val="36"/>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pPr>
        <w:spacing w:after="120" w:before="120"/>
        <w:jc w:val="center"/>
      </w:pPr>
      <w:r>
        <w:drawing>
          <wp:inline distT="0" distB="0" distL="0" distR="0">
            <wp:extent cx="4457700" cy="1714500"/>
            <wp:effectExtent t="0" r="0" b="0" l="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7145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Panel de Indicadores Clave del Proyecto Ganado Saludable.</w:t>
      </w:r>
    </w:p>
    <w:p>
      <w:pPr>
        <w:spacing w:after="200" w:before="0"/>
      </w:pPr>
    </w:p>
    <w:p>
      <w:pPr>
        <w:pStyle w:val="Heading1"/>
        <w:pageBreakBefore/>
        <w:spacing w:after="160" w:before="200"/>
      </w:pPr>
      <w:r>
        <w:rPr>
          <w:rFonts w:ascii="Arial" w:cs="Arial" w:eastAsia="Arial" w:hAnsi="Arial"/>
          <w:b/>
          <w:bCs/>
          <w:color w:val="9C223F"/>
          <w:sz w:val="36"/>
          <w:szCs w:val="36"/>
        </w:rPr>
        <w:t xml:space="preserve">1. Introducción</w:t>
      </w:r>
    </w:p>
    <w:p>
      <w:pPr>
        <w:pStyle w:val="Heading2"/>
        <w:spacing w:after="100" w:before="200"/>
      </w:pPr>
      <w:r>
        <w:rPr>
          <w:rFonts w:ascii="Arial" w:cs="Arial" w:eastAsia="Arial" w:hAnsi="Arial"/>
          <w:b/>
          <w:bCs/>
          <w:color w:val="1A1A2E"/>
          <w:sz w:val="28"/>
          <w:szCs w:val="28"/>
        </w:rPr>
        <w:t xml:space="preserve">1.1 Resumen del Primer Avance</w:t>
      </w:r>
    </w:p>
    <w:p>
      <w:pPr>
        <w:spacing w:after="120" w:before="60" w:line="360" w:lineRule="auto"/>
        <w:jc w:val="both"/>
      </w:pPr>
      <w:r>
        <w:rPr>
          <w:rFonts w:ascii="Arial" w:cs="Arial" w:eastAsia="Arial" w:hAnsi="Arial"/>
          <w:sz w:val="22"/>
          <w:szCs w:val="22"/>
        </w:rPr>
        <w:t xml:space="preserve">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pPr>
        <w:spacing w:after="120" w:before="60" w:line="360" w:lineRule="auto"/>
        <w:jc w:val="both"/>
      </w:pPr>
      <w:r>
        <w:rPr>
          <w:rFonts w:ascii="Arial" w:cs="Arial" w:eastAsia="Arial" w:hAnsi="Arial"/>
          <w:sz w:val="22"/>
          <w:szCs w:val="22"/>
        </w:rPr>
        <w:t xml:space="preserve">Se definió la alineación con las 7 materias del semestre, se diseñó la arquitectura ELT (Extract-Load-Transform), y se identificaron las fuentes de datos gubernamentales e internacionales necesarias.</w:t>
      </w:r>
    </w:p>
    <w:p>
      <w:pPr>
        <w:pStyle w:val="Heading2"/>
        <w:spacing w:after="100" w:before="200"/>
      </w:pPr>
      <w:r>
        <w:rPr>
          <w:rFonts w:ascii="Arial" w:cs="Arial" w:eastAsia="Arial" w:hAnsi="Arial"/>
          <w:b/>
          <w:bCs/>
          <w:color w:val="1A1A2E"/>
          <w:sz w:val="28"/>
          <w:szCs w:val="28"/>
        </w:rPr>
        <w:t xml:space="preserve">1.2 Qué se ha ejecutado desde entonces</w:t>
      </w:r>
    </w:p>
    <w:p>
      <w:pPr>
        <w:spacing w:after="120" w:before="60" w:line="360" w:lineRule="auto"/>
        <w:jc w:val="both"/>
      </w:pPr>
      <w:r>
        <w:rPr>
          <w:rFonts w:ascii="Arial" w:cs="Arial" w:eastAsia="Arial" w:hAnsi="Arial"/>
          <w:sz w:val="22"/>
          <w:szCs w:val="22"/>
        </w:rPr>
        <w:t xml:space="preserve">Este Segundo Avance documenta la ejecución completa de la primera mitad del proyecto:</w:t>
      </w:r>
    </w:p>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Pipeline ELT multi-fuente operativo (~29,200 registros limpios desde 6 fuentes)</w:t>
      </w:r>
    </w:p>
    <w:p>
      <w:pPr>
        <w:pStyle w:val="ListParagraph"/>
        <w:numPr>
          <w:ilvl w:val="0"/>
          <w:numId w:val="2"/>
        </w:numPr>
        <w:spacing w:after="60" w:before="40" w:line="320" w:lineRule="auto"/>
        <w:jc w:val="both"/>
      </w:pPr>
      <w:r>
        <w:rPr>
          <w:rFonts w:ascii="Arial" w:cs="Arial" w:eastAsia="Arial" w:hAnsi="Arial"/>
          <w:sz w:val="22"/>
          <w:szCs w:val="22"/>
        </w:rPr>
        <w:t xml:space="preserve">Análisis Exploratorio de Datos (EDA) con 8 hallazgos cuantificados</w:t>
      </w:r>
    </w:p>
    <w:p>
      <w:pPr>
        <w:pStyle w:val="ListParagraph"/>
        <w:numPr>
          <w:ilvl w:val="0"/>
          <w:numId w:val="2"/>
        </w:numPr>
        <w:spacing w:after="60" w:before="40" w:line="320" w:lineRule="auto"/>
        <w:jc w:val="both"/>
      </w:pPr>
      <w:r>
        <w:rPr>
          <w:rFonts w:ascii="Arial" w:cs="Arial" w:eastAsia="Arial" w:hAnsi="Arial"/>
          <w:sz w:val="22"/>
          <w:szCs w:val="22"/>
        </w:rPr>
        <w:t xml:space="preserve">Análisis Descriptivo de brotes en África (Top 5 países FMD)</w:t>
      </w:r>
    </w:p>
    <w:p>
      <w:pPr>
        <w:pStyle w:val="ListParagraph"/>
        <w:numPr>
          <w:ilvl w:val="0"/>
          <w:numId w:val="2"/>
        </w:numPr>
        <w:spacing w:after="60" w:before="40" w:line="320" w:lineRule="auto"/>
        <w:jc w:val="both"/>
      </w:pPr>
      <w:r>
        <w:rPr>
          <w:rFonts w:ascii="Arial" w:cs="Arial" w:eastAsia="Arial" w:hAnsi="Arial"/>
          <w:sz w:val="22"/>
          <w:szCs w:val="22"/>
        </w:rPr>
        <w:t xml:space="preserve">Análisis Inferencial: correlación zoonótica TB bovina↔humana y ANOVA de canales de venta</w:t>
      </w:r>
    </w:p>
    <w:p>
      <w:pPr>
        <w:pStyle w:val="ListParagraph"/>
        <w:numPr>
          <w:ilvl w:val="0"/>
          <w:numId w:val="2"/>
        </w:numPr>
        <w:spacing w:after="60" w:before="40" w:line="320" w:lineRule="auto"/>
        <w:jc w:val="both"/>
      </w:pPr>
      <w:r>
        <w:rPr>
          <w:rFonts w:ascii="Arial" w:cs="Arial" w:eastAsia="Arial" w:hAnsi="Arial"/>
          <w:sz w:val="22"/>
          <w:szCs w:val="22"/>
        </w:rPr>
        <w:t xml:space="preserve">Data Warehouse: transformación estructurada CSV→JSON con validación Pydantic</w:t>
      </w:r>
    </w:p>
    <w:p>
      <w:pPr>
        <w:pStyle w:val="ListParagraph"/>
        <w:numPr>
          <w:ilvl w:val="0"/>
          <w:numId w:val="2"/>
        </w:numPr>
        <w:spacing w:after="60" w:before="40" w:line="320" w:lineRule="auto"/>
        <w:jc w:val="both"/>
      </w:pPr>
      <w:r>
        <w:rPr>
          <w:rFonts w:ascii="Arial" w:cs="Arial" w:eastAsia="Arial" w:hAnsi="Arial"/>
          <w:sz w:val="22"/>
          <w:szCs w:val="22"/>
        </w:rPr>
        <w:t xml:space="preserve">Modelo matemático SIR dual (TB Bovina vs. FMD) mediante integración numérica de EDOs</w:t>
      </w:r>
    </w:p>
    <w:p>
      <w:pPr>
        <w:pStyle w:val="ListParagraph"/>
        <w:numPr>
          <w:ilvl w:val="0"/>
          <w:numId w:val="2"/>
        </w:numPr>
        <w:spacing w:after="60" w:before="40" w:line="320" w:lineRule="auto"/>
        <w:jc w:val="both"/>
      </w:pPr>
      <w:r>
        <w:rPr>
          <w:rFonts w:ascii="Arial" w:cs="Arial" w:eastAsia="Arial" w:hAnsi="Arial"/>
          <w:sz w:val="22"/>
          <w:szCs w:val="22"/>
        </w:rPr>
        <w:t xml:space="preserve">Cuantificación del impacto económico con modelos basados en literatura científica</w:t>
      </w:r>
    </w:p>
    <w:p>
      <w:pPr>
        <w:pStyle w:val="ListParagraph"/>
        <w:numPr>
          <w:ilvl w:val="0"/>
          <w:numId w:val="2"/>
        </w:numPr>
        <w:spacing w:after="60" w:before="40" w:line="320" w:lineRule="auto"/>
        <w:jc w:val="both"/>
      </w:pPr>
      <w:r>
        <w:rPr>
          <w:rFonts w:ascii="Arial" w:cs="Arial" w:eastAsia="Arial" w:hAnsi="Arial"/>
          <w:sz w:val="22"/>
          <w:szCs w:val="22"/>
        </w:rPr>
        <w:t xml:space="preserve">Arquitectura operativa de despliegue en campo (App + Dashboard NoSQL)</w:t>
      </w:r>
    </w:p>
    <w:p>
      <w:pPr>
        <w:pStyle w:val="Heading1"/>
        <w:pageBreakBefore/>
        <w:spacing w:after="160" w:before="200"/>
      </w:pPr>
      <w:r>
        <w:rPr>
          <w:rFonts w:ascii="Arial" w:cs="Arial" w:eastAsia="Arial" w:hAnsi="Arial"/>
          <w:b/>
          <w:bCs/>
          <w:color w:val="9C223F"/>
          <w:sz w:val="36"/>
          <w:szCs w:val="36"/>
        </w:rPr>
        <w:t xml:space="preserve">2. Pipeline de Datos: Adquisición y Transformación</w:t>
      </w:r>
    </w:p>
    <w:p>
      <w:pPr>
        <w:pStyle w:val="Heading2"/>
        <w:spacing w:after="100" w:before="200"/>
      </w:pPr>
      <w:r>
        <w:rPr>
          <w:rFonts w:ascii="Arial" w:cs="Arial" w:eastAsia="Arial" w:hAnsi="Arial"/>
          <w:b/>
          <w:bCs/>
          <w:color w:val="1A1A2E"/>
          <w:sz w:val="28"/>
          <w:szCs w:val="28"/>
        </w:rPr>
        <w:t xml:space="preserve">2.1 El Problema de los Datos en México</w:t>
      </w:r>
    </w:p>
    <w:p>
      <w:pPr>
        <w:spacing w:after="120" w:before="60" w:line="360" w:lineRule="auto"/>
        <w:jc w:val="both"/>
      </w:pPr>
      <w:r>
        <w:rPr>
          <w:rFonts w:ascii="Arial" w:cs="Arial" w:eastAsia="Arial" w:hAnsi="Arial"/>
          <w:sz w:val="22"/>
          <w:szCs w:val="22"/>
        </w:rPr>
        <w:t xml:space="preserve">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pPr>
        <w:pStyle w:val="Heading2"/>
        <w:spacing w:after="100" w:before="200"/>
      </w:pPr>
      <w:r>
        <w:rPr>
          <w:rFonts w:ascii="Arial" w:cs="Arial" w:eastAsia="Arial" w:hAnsi="Arial"/>
          <w:b/>
          <w:bCs/>
          <w:color w:val="1A1A2E"/>
          <w:sz w:val="28"/>
          <w:szCs w:val="28"/>
        </w:rPr>
        <w:t xml:space="preserve">2.2 Estrategia ELT Multi-Fuente</w:t>
      </w:r>
    </w:p>
    <w:p>
      <w:pPr>
        <w:spacing w:after="120" w:before="60" w:line="360" w:lineRule="auto"/>
        <w:jc w:val="both"/>
      </w:pPr>
      <w:r>
        <w:rPr>
          <w:rFonts w:ascii="Arial" w:cs="Arial" w:eastAsia="Arial" w:hAnsi="Arial"/>
          <w:sz w:val="22"/>
          <w:szCs w:val="22"/>
        </w:rPr>
        <w:t xml:space="preserve">Para resolver esta fragmentación, se diseñó un pipeline de Extracción-Carga-Transformación (ELT) resiliente con tres capas:</w:t>
      </w:r>
    </w:p>
    <w:p>
      <w:pPr>
        <w:spacing w:after="80" w:before="0"/>
      </w:pPr>
    </w:p>
    <w:p>
      <w:pPr>
        <w:spacing w:after="120" w:before="60" w:line="360" w:lineRule="auto"/>
        <w:jc w:val="both"/>
      </w:pPr>
      <w:r>
        <w:rPr>
          <w:rFonts w:ascii="Arial" w:cs="Arial" w:eastAsia="Arial" w:hAnsi="Arial"/>
          <w:b/>
          <w:bCs/>
          <w:sz w:val="22"/>
          <w:szCs w:val="22"/>
        </w:rPr>
        <w:t xml:space="preserve">Capa 1 — Extracción directa: </w:t>
      </w:r>
      <w:r>
        <w:rPr>
          <w:rFonts w:ascii="Arial" w:cs="Arial" w:eastAsia="Arial" w:hAnsi="Arial"/>
          <w:sz w:val="22"/>
          <w:szCs w:val="22"/>
        </w:rPr>
        <w:t xml:space="preserve">Fuentes estables con CSV/ZIP accesibles por HTTP (SENASICA hatos libres, DGE 2015-2017).</w:t>
      </w:r>
    </w:p>
    <w:p>
      <w:pPr>
        <w:spacing w:after="120" w:before="60" w:line="360" w:lineRule="auto"/>
        <w:jc w:val="both"/>
      </w:pPr>
      <w:r>
        <w:rPr>
          <w:rFonts w:ascii="Arial" w:cs="Arial" w:eastAsia="Arial" w:hAnsi="Arial"/>
          <w:b/>
          <w:bCs/>
          <w:sz w:val="22"/>
          <w:szCs w:val="22"/>
        </w:rPr>
        <w:t xml:space="preserve">Capa 2 — Parsing de PDFs: </w:t>
      </w:r>
      <w:r>
        <w:rPr>
          <w:rFonts w:ascii="Arial" w:cs="Arial" w:eastAsia="Arial" w:hAnsi="Arial"/>
          <w:sz w:val="22"/>
          <w:szCs w:val="22"/>
        </w:rPr>
        <w:t xml:space="preserve">Reportes trimestrales SENASICA, anuarios DGE 2018-2024 y resoluciones COFEPRIS procesados con pdfplumber.</w:t>
      </w:r>
    </w:p>
    <w:p>
      <w:pPr>
        <w:spacing w:after="120" w:before="60" w:line="360" w:lineRule="auto"/>
        <w:jc w:val="both"/>
      </w:pPr>
      <w:r>
        <w:rPr>
          <w:rFonts w:ascii="Arial" w:cs="Arial" w:eastAsia="Arial" w:hAnsi="Arial"/>
          <w:b/>
          <w:bCs/>
          <w:sz w:val="22"/>
          <w:szCs w:val="22"/>
        </w:rPr>
        <w:t xml:space="preserve">Capa 3 — Navegador automatizado: </w:t>
      </w:r>
      <w:r>
        <w:rPr>
          <w:rFonts w:ascii="Arial" w:cs="Arial" w:eastAsia="Arial" w:hAnsi="Arial"/>
          <w:sz w:val="22"/>
          <w:szCs w:val="22"/>
        </w:rPr>
        <w:t xml:space="preserve">Dashboard interactivo openFMD (R/Shiny) y servidores inestables UNAM, automatizados con Playwright.</w:t>
      </w:r>
    </w:p>
    <w:p>
      <w:pPr>
        <w:pStyle w:val="Heading2"/>
        <w:spacing w:after="100" w:before="200"/>
      </w:pPr>
      <w:r>
        <w:rPr>
          <w:rFonts w:ascii="Arial" w:cs="Arial" w:eastAsia="Arial" w:hAnsi="Arial"/>
          <w:b/>
          <w:bCs/>
          <w:color w:val="1A1A2E"/>
          <w:sz w:val="28"/>
          <w:szCs w:val="28"/>
        </w:rPr>
        <w:t xml:space="preserve">2.3 Inventario de Datasets Recuperados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700"/>
        <w:gridCol w:w="1400"/>
        <w:gridCol w:w="2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2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TB (hatos libres)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senasica_tb_clean.csv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64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CSV directo</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32 estados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 Cuarentenas 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senasica_cuarentenas_clean.csv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4 trimestres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Morbilidad Estatal 2015-2017</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384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ZIP → CSV</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 Morbilidad Nacional 2018-2024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dge_morbilidad_2018_2024_clean.csv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Consolidado 2015-2024</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dge_morbilidad_nacional_2015_2024_clean.csv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Unión</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Serie 10 años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 Global (WRLFMD)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28,585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103 países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 Sanciones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cofepris_clausuras_alimentarias_clean.csv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7 empresas</w:t>
            </w:r>
          </w:p>
        </w:tc>
      </w:tr>
    </w:tbl>
    <w:p>
      <w:pPr>
        <w:spacing w:after="120" w:before="0"/>
      </w:pPr>
    </w:p>
    <w:p>
      <w:pPr>
        <w:spacing w:after="120" w:before="60" w:line="360" w:lineRule="auto"/>
        <w:jc w:val="both"/>
      </w:pPr>
      <w:r>
        <w:rPr>
          <w:rFonts w:ascii="Arial" w:cs="Arial" w:eastAsia="Arial" w:hAnsi="Arial"/>
          <w:b/>
          <w:bCs/>
          <w:sz w:val="22"/>
          <w:szCs w:val="22"/>
        </w:rPr>
        <w:t xml:space="preserve">Total: </w:t>
      </w:r>
      <w:r>
        <w:rPr>
          <w:rFonts w:ascii="Arial" w:cs="Arial" w:eastAsia="Arial" w:hAnsi="Arial"/>
          <w:sz w:val="22"/>
          <w:szCs w:val="22"/>
        </w:rPr>
        <w:t xml:space="preserve">~29,200 registros limpios desde 6 fuentes distintas.</w:t>
      </w:r>
    </w:p>
    <w:p>
      <w:pPr>
        <w:pStyle w:val="Heading2"/>
        <w:spacing w:after="100" w:before="200"/>
      </w:pPr>
      <w:r>
        <w:rPr>
          <w:rFonts w:ascii="Arial" w:cs="Arial" w:eastAsia="Arial" w:hAnsi="Arial"/>
          <w:b/>
          <w:bCs/>
          <w:color w:val="1A1A2E"/>
          <w:sz w:val="28"/>
          <w:szCs w:val="28"/>
        </w:rPr>
        <w:t xml:space="preserve">2.4 Data Warehouse: Transformación CSV→JSON con Pydantic</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src/warehouse/csv_to_json.py — Aporte del Miembro 1 del equipo (Axel).</w:t>
      </w:r>
    </w:p>
    <w:p>
      <w:pPr>
        <w:spacing w:after="120" w:before="60" w:line="360" w:lineRule="auto"/>
        <w:jc w:val="both"/>
      </w:pPr>
      <w:r>
        <w:rPr>
          <w:rFonts w:ascii="Arial" w:cs="Arial" w:eastAsia="Arial" w:hAnsi="Arial"/>
          <w:sz w:val="22"/>
          <w:szCs w:val="22"/>
        </w:rPr>
        <w:t xml:space="preserve">Se implementó un script de transformación que convierte los datos tabulares de cuarentenas (CSV) a un formato JSON jerárquico optimizado para MongoDB, utilizando Pydantic como capa de validación de tipos.</w:t>
      </w:r>
    </w:p>
    <w:p>
      <w:pPr>
        <w:spacing w:after="120" w:before="60" w:line="360" w:lineRule="auto"/>
        <w:jc w:val="both"/>
      </w:pPr>
      <w:r>
        <w:rPr>
          <w:rFonts w:ascii="Arial" w:cs="Arial" w:eastAsia="Arial" w:hAnsi="Arial"/>
          <w:sz w:val="22"/>
          <w:szCs w:val="22"/>
        </w:rPr>
        <w:t xml:space="preserve">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pPr>
        <w:pStyle w:val="Heading1"/>
        <w:pageBreakBefore/>
        <w:spacing w:after="160" w:before="200"/>
      </w:pPr>
      <w:r>
        <w:rPr>
          <w:rFonts w:ascii="Arial" w:cs="Arial" w:eastAsia="Arial" w:hAnsi="Arial"/>
          <w:b/>
          <w:bCs/>
          <w:color w:val="9C223F"/>
          <w:sz w:val="36"/>
          <w:szCs w:val="36"/>
        </w:rPr>
        <w:t xml:space="preserve">3. Hallazgos del Análisis Exploratorio (EDA)</w:t>
      </w:r>
    </w:p>
    <w:p>
      <w:pPr>
        <w:spacing w:after="120" w:before="60" w:line="360" w:lineRule="auto"/>
        <w:jc w:val="both"/>
      </w:pPr>
      <w:r>
        <w:rPr>
          <w:rFonts w:ascii="Arial" w:cs="Arial" w:eastAsia="Arial" w:hAnsi="Arial"/>
          <w:b/>
          <w:bCs/>
          <w:sz w:val="22"/>
          <w:szCs w:val="22"/>
        </w:rPr>
        <w:t xml:space="preserve">Notebook de referencia: </w:t>
      </w:r>
      <w:r>
        <w:rPr>
          <w:rFonts w:ascii="Arial" w:cs="Arial" w:eastAsia="Arial" w:hAnsi="Arial"/>
          <w:sz w:val="22"/>
          <w:szCs w:val="22"/>
        </w:rPr>
        <w:t xml:space="preserve">notebooks/01_eda_global.ipynb</w:t>
      </w:r>
    </w:p>
    <w:p>
      <w:pPr>
        <w:pStyle w:val="Heading2"/>
        <w:spacing w:after="100" w:before="200"/>
      </w:pPr>
      <w:r>
        <w:rPr>
          <w:rFonts w:ascii="Arial" w:cs="Arial" w:eastAsia="Arial" w:hAnsi="Arial"/>
          <w:b/>
          <w:bCs/>
          <w:color w:val="1A1A2E"/>
          <w:sz w:val="28"/>
          <w:szCs w:val="28"/>
        </w:rPr>
        <w:t xml:space="preserve">3.1 COVID-19 validó la hipótesis de canales de venta</w:t>
      </w:r>
    </w:p>
    <w:p>
      <w:pPr>
        <w:spacing w:after="120" w:before="60" w:line="360" w:lineRule="auto"/>
        <w:jc w:val="both"/>
      </w:pPr>
      <w:r>
        <w:rPr>
          <w:rFonts w:ascii="Arial" w:cs="Arial" w:eastAsia="Arial" w:hAnsi="Arial"/>
          <w:sz w:val="22"/>
          <w:szCs w:val="22"/>
        </w:rPr>
        <w:t xml:space="preserve">La serie temporal DGE 2015-2024 revela una anomalía natural que funciona como grupo de control involuntario: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Año</w:t>
            </w:r>
          </w:p>
        </w:tc>
        <w:tc>
          <w:tcPr>
            <w:tcW w:type="dxa" w:w="3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Intoxicaciones Alimentarias (A05)</w:t>
            </w:r>
          </w:p>
        </w:tc>
        <w:tc>
          <w:tcPr>
            <w:tcW w:type="dxa" w:w="3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Tuberculosis (A15-A19)</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2019</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31,916</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22,283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18,667 (−41.5%)</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16,747 (−24.8%)</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2024</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25,259</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25,980</w:t>
            </w:r>
          </w:p>
        </w:tc>
      </w:tr>
    </w:tbl>
    <w:p>
      <w:pPr>
        <w:spacing w:after="80" w:before="0"/>
      </w:pPr>
    </w:p>
    <w:p>
      <w:pPr>
        <w:spacing w:after="120" w:before="60" w:line="360" w:lineRule="auto"/>
        <w:jc w:val="both"/>
      </w:pPr>
      <w:r>
        <w:rPr>
          <w:rFonts w:ascii="Arial" w:cs="Arial" w:eastAsia="Arial" w:hAnsi="Arial"/>
          <w:sz w:val="22"/>
          <w:szCs w:val="22"/>
        </w:rPr>
        <w:t xml:space="preserve">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pPr>
        <w:spacing w:after="120" w:before="120"/>
        <w:jc w:val="center"/>
      </w:pPr>
      <w:r>
        <w:drawing>
          <wp:inline distT="0" distB="0" distL="0" distR="0">
            <wp:extent cx="4251960" cy="2606040"/>
            <wp:effectExtent t="0" r="0" b="0" l="0"/>
            <wp:docPr id="1"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 Serie temporal DGE 2015-2024 con banda COVID-19.</w:t>
      </w:r>
    </w:p>
    <w:p>
      <w:pPr>
        <w:pStyle w:val="Heading2"/>
        <w:spacing w:after="100" w:before="200"/>
      </w:pPr>
      <w:r>
        <w:rPr>
          <w:rFonts w:ascii="Arial" w:cs="Arial" w:eastAsia="Arial" w:hAnsi="Arial"/>
          <w:b/>
          <w:bCs/>
          <w:color w:val="1A1A2E"/>
          <w:sz w:val="28"/>
          <w:szCs w:val="28"/>
        </w:rPr>
        <w:t xml:space="preserve">3.2 Cobertura del programa TB Bovina: Solo el 1.2%</w:t>
      </w:r>
    </w:p>
    <w:p>
      <w:pPr>
        <w:spacing w:after="120" w:before="60" w:line="360" w:lineRule="auto"/>
        <w:jc w:val="both"/>
      </w:pPr>
      <w:r>
        <w:rPr>
          <w:rFonts w:ascii="Arial" w:cs="Arial" w:eastAsia="Arial" w:hAnsi="Arial"/>
          <w:sz w:val="22"/>
          <w:szCs w:val="22"/>
        </w:rPr>
        <w:t xml:space="preserve">El programa SENASICA ha certificado 420,171 bovinos como libres de tuberculosis, de una biomasa nacional de 35,100,000. Cobertura: 1.20%. El 98.8% del hato opera en oscuridad estadística.</w:t>
      </w:r>
    </w:p>
    <w:p>
      <w:pPr>
        <w:spacing w:after="120" w:before="120"/>
        <w:jc w:val="center"/>
      </w:pPr>
      <w:r>
        <w:drawing>
          <wp:inline distT="0" distB="0" distL="0" distR="0">
            <wp:extent cx="4251960" cy="2606040"/>
            <wp:effectExtent t="0" r="0" b="0" l="0"/>
            <wp:docPr id="1"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2. Top 15 estados por bovinos certificados libres de TB.</w:t>
      </w:r>
    </w:p>
    <w:p>
      <w:pPr>
        <w:pStyle w:val="Heading2"/>
        <w:spacing w:after="100" w:before="200"/>
      </w:pPr>
      <w:r>
        <w:rPr>
          <w:rFonts w:ascii="Arial" w:cs="Arial" w:eastAsia="Arial" w:hAnsi="Arial"/>
          <w:b/>
          <w:bCs/>
          <w:color w:val="1A1A2E"/>
          <w:sz w:val="28"/>
          <w:szCs w:val="28"/>
        </w:rPr>
        <w:t xml:space="preserve">3.3 Cuarentenas SENASICA 2024: Jalisco concentra el 66.6%</w:t>
      </w:r>
    </w:p>
    <w:p>
      <w:pPr>
        <w:spacing w:after="120" w:before="60" w:line="360" w:lineRule="auto"/>
        <w:jc w:val="both"/>
      </w:pPr>
      <w:r>
        <w:rPr>
          <w:rFonts w:ascii="Arial" w:cs="Arial" w:eastAsia="Arial" w:hAnsi="Arial"/>
          <w:sz w:val="22"/>
          <w:szCs w:val="22"/>
        </w:rPr>
        <w:t xml:space="preserve">27 de 32 estados tienen hatos bajo cuarentena activa: 856 hatos y 7,558 animales afectados. Jalisco concentra el 66.6% de los animales afectados (5,035) con solo el 15.8% de los hatos, sugiriendo concentración en unidades de producción grandes.</w:t>
      </w:r>
    </w:p>
    <w:p>
      <w:pPr>
        <w:spacing w:after="120" w:before="120"/>
        <w:jc w:val="center"/>
      </w:pPr>
      <w:r>
        <w:drawing>
          <wp:inline distT="0" distB="0" distL="0" distR="0">
            <wp:extent cx="4251960" cy="2606040"/>
            <wp:effectExtent t="0" r="0" b="0" l="0"/>
            <wp:docPr id="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3. Hatos y animales cuarentenados por estado (SENASICA 2024).</w:t>
      </w:r>
    </w:p>
    <w:p>
      <w:pPr>
        <w:pStyle w:val="Heading2"/>
        <w:spacing w:after="100" w:before="200"/>
      </w:pPr>
      <w:r>
        <w:rPr>
          <w:rFonts w:ascii="Arial" w:cs="Arial" w:eastAsia="Arial" w:hAnsi="Arial"/>
          <w:b/>
          <w:bCs/>
          <w:color w:val="1A1A2E"/>
          <w:sz w:val="28"/>
          <w:szCs w:val="28"/>
        </w:rPr>
        <w:t xml:space="preserve">3.4 Las Américas: Inmunológicamente vírgenes a FMD</w:t>
      </w:r>
    </w:p>
    <w:p>
      <w:pPr>
        <w:spacing w:after="120" w:before="60" w:line="360" w:lineRule="auto"/>
        <w:jc w:val="both"/>
      </w:pPr>
      <w:r>
        <w:rPr>
          <w:rFonts w:ascii="Arial" w:cs="Arial" w:eastAsia="Arial" w:hAnsi="Arial"/>
          <w:sz w:val="22"/>
          <w:szCs w:val="22"/>
        </w:rPr>
        <w:t xml:space="preserve">De 16,540 eventos FMD positivos globalmente (2000-2025), las Américas representan solo el 2.7%. México, libre desde 1954, tiene una biomasa 100% susceptible.</w:t>
      </w:r>
    </w:p>
    <w:p>
      <w:pPr>
        <w:spacing w:after="120" w:before="120"/>
        <w:jc w:val="center"/>
      </w:pPr>
      <w:r>
        <w:drawing>
          <wp:inline distT="0" distB="0" distL="0" distR="0">
            <wp:extent cx="4251960" cy="2606040"/>
            <wp:effectExtent t="0" r="0" b="0" l="0"/>
            <wp:docPr id="1"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4. Distribución global de brotes FMD por región y serotipo.</w:t>
      </w:r>
    </w:p>
    <w:p>
      <w:pPr>
        <w:pStyle w:val="Heading2"/>
        <w:spacing w:after="100" w:before="200"/>
      </w:pPr>
      <w:r>
        <w:rPr>
          <w:rFonts w:ascii="Arial" w:cs="Arial" w:eastAsia="Arial" w:hAnsi="Arial"/>
          <w:b/>
          <w:bCs/>
          <w:color w:val="1A1A2E"/>
          <w:sz w:val="28"/>
          <w:szCs w:val="28"/>
        </w:rPr>
        <w:t xml:space="preserve">3.5 Serotipo O domina el 55% de las epidemias globales</w:t>
      </w:r>
    </w:p>
    <w:p>
      <w:pPr>
        <w:spacing w:after="120" w:before="60" w:line="360" w:lineRule="auto"/>
        <w:jc w:val="both"/>
      </w:pPr>
      <w:r>
        <w:rPr>
          <w:rFonts w:ascii="Arial" w:cs="Arial" w:eastAsia="Arial" w:hAnsi="Arial"/>
          <w:sz w:val="22"/>
          <w:szCs w:val="22"/>
        </w:rPr>
        <w:t xml:space="preserve">El serotipo O (9,072 eventos, 54.9% del total) es el mismo que devastó al Reino Unido en 2001. Esto parametriza nuestro modelo SIR con R₀ = 6.0.</w:t>
      </w:r>
    </w:p>
    <w:p>
      <w:pPr>
        <w:spacing w:after="120" w:before="120"/>
        <w:jc w:val="center"/>
      </w:pPr>
      <w:r>
        <w:drawing>
          <wp:inline distT="0" distB="0" distL="0" distR="0">
            <wp:extent cx="3086100" cy="2400300"/>
            <wp:effectExtent t="0" r="0" b="0" l="0"/>
            <wp:docPr id="1"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24003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5. Distribución de serotipos FMD a nivel global.</w:t>
      </w:r>
    </w:p>
    <w:p>
      <w:pPr>
        <w:pStyle w:val="Heading2"/>
        <w:spacing w:after="100" w:before="200"/>
      </w:pPr>
      <w:r>
        <w:rPr>
          <w:rFonts w:ascii="Arial" w:cs="Arial" w:eastAsia="Arial" w:hAnsi="Arial"/>
          <w:b/>
          <w:bCs/>
          <w:color w:val="1A1A2E"/>
          <w:sz w:val="28"/>
          <w:szCs w:val="28"/>
        </w:rPr>
        <w:t xml:space="preserve">3.6 Opacidad regulatoria como indicador de riesgo</w:t>
      </w:r>
    </w:p>
    <w:p>
      <w:pPr>
        <w:spacing w:after="120" w:before="60" w:line="360" w:lineRule="auto"/>
        <w:jc w:val="both"/>
      </w:pPr>
      <w:r>
        <w:rPr>
          <w:rFonts w:ascii="Arial" w:cs="Arial" w:eastAsia="Arial" w:hAnsi="Arial"/>
          <w:sz w:val="22"/>
          <w:szCs w:val="22"/>
        </w:rPr>
        <w:t xml:space="preserve">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pPr>
        <w:pStyle w:val="Heading1"/>
        <w:pageBreakBefore/>
        <w:spacing w:after="160" w:before="200"/>
      </w:pPr>
      <w:r>
        <w:rPr>
          <w:rFonts w:ascii="Arial" w:cs="Arial" w:eastAsia="Arial" w:hAnsi="Arial"/>
          <w:b/>
          <w:bCs/>
          <w:color w:val="9C223F"/>
          <w:sz w:val="36"/>
          <w:szCs w:val="36"/>
        </w:rPr>
        <w:t xml:space="preserve">4. Análisis Estadístico del Equipo</w:t>
      </w:r>
    </w:p>
    <w:p>
      <w:pPr>
        <w:pStyle w:val="Heading2"/>
        <w:spacing w:after="100" w:before="200"/>
      </w:pPr>
      <w:r>
        <w:rPr>
          <w:rFonts w:ascii="Arial" w:cs="Arial" w:eastAsia="Arial" w:hAnsi="Arial"/>
          <w:b/>
          <w:bCs/>
          <w:color w:val="1A1A2E"/>
          <w:sz w:val="28"/>
          <w:szCs w:val="28"/>
        </w:rPr>
        <w:t xml:space="preserve">4.1 Análisis Descriptivo: Top 5 Países FMD en África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notebooks/02_analisis_descriptivo.ipynb — Aporte de la Miembro 2 del equipo (Victoria).</w:t>
      </w:r>
    </w:p>
    <w:p>
      <w:pPr>
        <w:spacing w:after="120" w:before="60" w:line="360" w:lineRule="auto"/>
        <w:jc w:val="both"/>
      </w:pPr>
      <w:r>
        <w:rPr>
          <w:rFonts w:ascii="Arial" w:cs="Arial" w:eastAsia="Arial" w:hAnsi="Arial"/>
          <w:sz w:val="22"/>
          <w:szCs w:val="22"/>
        </w:rPr>
        <w:t xml:space="preserve">Se filtraron 10,606 eventos FMD positivos confirmados en la región africana (2000-2025) del dataset openFMD, aplicando técnicas de Data Binning por décadas y generando estadísticas descriptivas.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País</w:t>
            </w:r>
          </w:p>
        </w:tc>
        <w:tc>
          <w:tcPr>
            <w:tcW w:type="dxa" w:w="40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FMD Confirmados</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Algeria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1,308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Zimbabwe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1,061</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Sudáfrica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971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Kenya</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Egipto</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765</w:t>
            </w:r>
          </w:p>
        </w:tc>
      </w:tr>
    </w:tbl>
    <w:p>
      <w:pPr>
        <w:spacing w:after="120" w:before="0"/>
      </w:pPr>
    </w:p>
    <w:p>
      <w:pPr>
        <w:spacing w:after="120" w:before="60" w:line="360" w:lineRule="auto"/>
        <w:jc w:val="both"/>
      </w:pPr>
      <w:r>
        <w:rPr>
          <w:rFonts w:ascii="Arial" w:cs="Arial" w:eastAsia="Arial" w:hAnsi="Arial"/>
          <w:b/>
          <w:bCs/>
          <w:sz w:val="22"/>
          <w:szCs w:val="22"/>
        </w:rPr>
        <w:t xml:space="preserve">Data Binning por Décadas: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Década</w:t>
            </w:r>
          </w:p>
        </w:tc>
        <w:tc>
          <w:tcPr>
            <w:tcW w:type="dxa" w:w="45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en África</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2000s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3,154</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762</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Los brotes en la década de los 2010s fueron 2.6 veces mayores que en los 2000s. La aparente caída en los 2020s responde al fenómeno de Right-Censoring (rezago de reporte del WRLFMD), no a una mejora epidemiológica real.</w:t>
      </w:r>
    </w:p>
    <w:p>
      <w:pPr>
        <w:spacing w:after="120" w:before="120"/>
        <w:jc w:val="center"/>
      </w:pPr>
      <w:r>
        <w:drawing>
          <wp:inline distT="0" distB="0" distL="0" distR="0">
            <wp:extent cx="4251960" cy="2606040"/>
            <wp:effectExtent t="0" r="0" b="0" l="0"/>
            <wp:docPr id="1"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6. Top 5 países de África con mayor incidencia de Fiebre Aftosa (2000-2025).</w:t>
      </w:r>
    </w:p>
    <w:p>
      <w:pPr>
        <w:pStyle w:val="Heading2"/>
        <w:spacing w:after="100" w:before="200"/>
      </w:pPr>
      <w:r>
        <w:rPr>
          <w:rFonts w:ascii="Arial" w:cs="Arial" w:eastAsia="Arial" w:hAnsi="Arial"/>
          <w:b/>
          <w:bCs/>
          <w:color w:val="1A1A2E"/>
          <w:sz w:val="28"/>
          <w:szCs w:val="28"/>
        </w:rPr>
        <w:t xml:space="preserve">4.2 Análisis Inferencial: Correlación Zoonótica y ANOVA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notebooks/03_analisis_inferencial.ipynb — Aporte de la Miembro 2 del equipo (Victoria).</w:t>
      </w:r>
    </w:p>
    <w:p>
      <w:pPr>
        <w:spacing w:after="120" w:before="60" w:line="360" w:lineRule="auto"/>
        <w:jc w:val="both"/>
      </w:pPr>
      <w:r>
        <w:rPr>
          <w:rFonts w:ascii="Arial" w:cs="Arial" w:eastAsia="Arial" w:hAnsi="Arial"/>
          <w:sz w:val="22"/>
          <w:szCs w:val="22"/>
        </w:rPr>
        <w:t xml:space="preserve">Se realizaron dos pruebas inferenciales:</w:t>
      </w:r>
    </w:p>
    <w:p>
      <w:pPr>
        <w:pStyle w:val="Heading3"/>
        <w:spacing w:after="80" w:before="160"/>
      </w:pPr>
      <w:r>
        <w:rPr>
          <w:rFonts w:ascii="Arial" w:cs="Arial" w:eastAsia="Arial" w:hAnsi="Arial"/>
          <w:b/>
          <w:bCs/>
          <w:color w:val="9C223F"/>
          <w:sz w:val="24"/>
          <w:szCs w:val="24"/>
        </w:rPr>
        <w:t xml:space="preserve">A. Correlación cruzada TB Bovina ↔ TB Humana</w:t>
      </w:r>
    </w:p>
    <w:p>
      <w:pPr>
        <w:spacing w:after="120" w:before="60" w:line="360" w:lineRule="auto"/>
        <w:jc w:val="both"/>
      </w:pPr>
      <w:r>
        <w:rPr>
          <w:rFonts w:ascii="Arial" w:cs="Arial" w:eastAsia="Arial" w:hAnsi="Arial"/>
          <w:sz w:val="22"/>
          <w:szCs w:val="22"/>
        </w:rPr>
        <w:t xml:space="preserve">Se cruzaron los datos de animales en cuarentena por TB bovina (SENASICA, n=26 estados) con los casos acumulados de tuberculosis humana (DGE, CIE-10 A15-A19, 2015-2017).</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Coeficiente de Pearson: r = 0.222</w:t>
      </w:r>
    </w:p>
    <w:p>
      <w:pPr>
        <w:pStyle w:val="ListParagraph"/>
        <w:numPr>
          <w:ilvl w:val="0"/>
          <w:numId w:val="2"/>
        </w:numPr>
        <w:spacing w:after="60" w:before="40" w:line="320" w:lineRule="auto"/>
        <w:jc w:val="both"/>
      </w:pPr>
      <w:r>
        <w:rPr>
          <w:rFonts w:ascii="Arial" w:cs="Arial" w:eastAsia="Arial" w:hAnsi="Arial"/>
          <w:sz w:val="22"/>
          <w:szCs w:val="22"/>
        </w:rPr>
        <w:t xml:space="preserve">P-value: p = 0.275 (no significativo a α = 0.05)</w:t>
      </w:r>
    </w:p>
    <w:p>
      <w:pPr>
        <w:spacing w:after="40" w:before="0"/>
      </w:pPr>
    </w:p>
    <w:p>
      <w:pPr>
        <w:spacing w:after="120" w:before="60" w:line="360" w:lineRule="auto"/>
        <w:jc w:val="both"/>
      </w:pPr>
      <w:r>
        <w:rPr>
          <w:rFonts w:ascii="Arial" w:cs="Arial" w:eastAsia="Arial" w:hAnsi="Arial"/>
          <w:b/>
          <w:bCs/>
          <w:sz w:val="22"/>
          <w:szCs w:val="22"/>
        </w:rPr>
        <w:t xml:space="preserve">Interpretación: </w:t>
      </w:r>
      <w:r>
        <w:rPr>
          <w:rFonts w:ascii="Arial" w:cs="Arial" w:eastAsia="Arial" w:hAnsi="Arial"/>
          <w:sz w:val="22"/>
          <w:szCs w:val="22"/>
        </w:rPr>
        <w:t xml:space="preserve">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pPr>
        <w:spacing w:after="120" w:before="120"/>
        <w:jc w:val="center"/>
      </w:pPr>
      <w:r>
        <w:drawing>
          <wp:inline distT="0" distB="0" distL="0" distR="0">
            <wp:extent cx="3977640" cy="2880360"/>
            <wp:effectExtent t="0" r="0" b="0" l="0"/>
            <wp:docPr id="1"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288036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7. Correlación zoonótica TB Bovina ↔ TB Humana (r = 0.222, p = 0.275).</w:t>
      </w:r>
    </w:p>
    <w:p>
      <w:pPr>
        <w:pStyle w:val="Heading3"/>
        <w:spacing w:after="80" w:before="160"/>
      </w:pPr>
      <w:r>
        <w:rPr>
          <w:rFonts w:ascii="Arial" w:cs="Arial" w:eastAsia="Arial" w:hAnsi="Arial"/>
          <w:b/>
          <w:bCs/>
          <w:color w:val="9C223F"/>
          <w:sz w:val="24"/>
          <w:szCs w:val="24"/>
        </w:rPr>
        <w:t xml:space="preserve">B. ANOVA — Riesgo de Salmonella según canal de venta</w:t>
      </w:r>
    </w:p>
    <w:p>
      <w:pPr>
        <w:spacing w:after="120" w:before="60" w:line="360" w:lineRule="auto"/>
        <w:jc w:val="both"/>
      </w:pPr>
      <w:r>
        <w:rPr>
          <w:rFonts w:ascii="Arial" w:cs="Arial" w:eastAsia="Arial" w:hAnsi="Arial"/>
          <w:sz w:val="22"/>
          <w:szCs w:val="22"/>
        </w:rPr>
        <w:t xml:space="preserve">Se simularon 1,000 muestras por canal utilizando distribuciones binomiales basadas en las prevalencias documentadas en la literatura: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26"/>
      </w:tblGrid>
      <w:tr>
        <w:tc>
          <w:tcPr>
            <w:tcW w:type="dxa" w:w="3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Canal de Venta</w:t>
            </w:r>
          </w:p>
        </w:tc>
        <w:tc>
          <w:tcPr>
            <w:tcW w:type="dxa" w:w="3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Esperada</w:t>
            </w:r>
          </w:p>
        </w:tc>
        <w:tc>
          <w:tcPr>
            <w:tcW w:type="dxa" w:w="28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Simulada</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Supermercados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Carnicerías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Tianguis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13.6%</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Mercados Municipales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21.4%</w:t>
            </w:r>
          </w:p>
        </w:tc>
      </w:tr>
    </w:tbl>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F-statistic: 78.72</w:t>
      </w:r>
    </w:p>
    <w:p>
      <w:pPr>
        <w:pStyle w:val="ListParagraph"/>
        <w:numPr>
          <w:ilvl w:val="0"/>
          <w:numId w:val="2"/>
        </w:numPr>
        <w:spacing w:after="60" w:before="40" w:line="320" w:lineRule="auto"/>
        <w:jc w:val="both"/>
      </w:pPr>
      <w:r>
        <w:rPr>
          <w:rFonts w:ascii="Arial" w:cs="Arial" w:eastAsia="Arial" w:hAnsi="Arial"/>
          <w:sz w:val="22"/>
          <w:szCs w:val="22"/>
        </w:rPr>
        <w:t xml:space="preserve">P-value: 1.80 × 10⁻⁴⁹ (altamente significativo)</w:t>
      </w:r>
    </w:p>
    <w:p>
      <w:pPr>
        <w:spacing w:after="4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pPr>
        <w:spacing w:after="120" w:before="120"/>
        <w:jc w:val="center"/>
      </w:pPr>
      <w:r>
        <w:drawing>
          <wp:inline distT="0" distB="0" distL="0" distR="0">
            <wp:extent cx="4251960" cy="2606040"/>
            <wp:effectExtent t="0" r="0" b="0" l="0"/>
            <wp:docPr id="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8. ANOVA: Riesgo sanitario por canal de venta (F = 78.72, p &lt; 0.001).</w:t>
      </w:r>
    </w:p>
    <w:p>
      <w:pPr>
        <w:pStyle w:val="Heading1"/>
        <w:pageBreakBefore/>
        <w:spacing w:after="160" w:before="200"/>
      </w:pPr>
      <w:r>
        <w:rPr>
          <w:rFonts w:ascii="Arial" w:cs="Arial" w:eastAsia="Arial" w:hAnsi="Arial"/>
          <w:b/>
          <w:bCs/>
          <w:color w:val="9C223F"/>
          <w:sz w:val="36"/>
          <w:szCs w:val="36"/>
        </w:rPr>
        <w:t xml:space="preserve">5. Modelado Matemático SIR</w:t>
      </w:r>
    </w:p>
    <w:p>
      <w:pPr>
        <w:pStyle w:val="Heading2"/>
        <w:spacing w:after="100" w:before="200"/>
      </w:pPr>
      <w:r>
        <w:rPr>
          <w:rFonts w:ascii="Arial" w:cs="Arial" w:eastAsia="Arial" w:hAnsi="Arial"/>
          <w:b/>
          <w:bCs/>
          <w:color w:val="1A1A2E"/>
          <w:sz w:val="28"/>
          <w:szCs w:val="28"/>
        </w:rPr>
        <w:t xml:space="preserve">5.1 Fundamentos Teóricos</w:t>
      </w:r>
    </w:p>
    <w:p>
      <w:pPr>
        <w:spacing w:after="120" w:before="60" w:line="360" w:lineRule="auto"/>
        <w:jc w:val="both"/>
      </w:pPr>
      <w:r>
        <w:rPr>
          <w:rFonts w:ascii="Arial" w:cs="Arial" w:eastAsia="Arial" w:hAnsi="Arial"/>
          <w:sz w:val="22"/>
          <w:szCs w:val="22"/>
        </w:rPr>
        <w:t xml:space="preserve">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pPr>
        <w:spacing w:after="80" w:before="0"/>
      </w:pPr>
    </w:p>
    <w:p>
      <w:pPr>
        <w:spacing w:after="120" w:before="60" w:line="360" w:lineRule="auto"/>
        <w:jc w:val="both"/>
      </w:pPr>
      <w:r>
        <w:rPr>
          <w:rFonts w:ascii="Arial" w:cs="Arial" w:eastAsia="Arial" w:hAnsi="Arial"/>
          <w:b/>
          <w:bCs/>
          <w:sz w:val="22"/>
          <w:szCs w:val="22"/>
        </w:rPr>
        <w:t xml:space="preserve">Las ecuaciones del sistema son:</w:t>
      </w:r>
    </w:p>
    <w:p>
      <w:pPr>
        <w:pStyle w:val="ListParagraph"/>
        <w:numPr>
          <w:ilvl w:val="0"/>
          <w:numId w:val="2"/>
        </w:numPr>
        <w:spacing w:after="60" w:before="40" w:line="320" w:lineRule="auto"/>
        <w:jc w:val="both"/>
      </w:pPr>
      <w:r>
        <w:rPr>
          <w:rFonts w:ascii="Arial" w:cs="Arial" w:eastAsia="Arial" w:hAnsi="Arial"/>
          <w:sz w:val="22"/>
          <w:szCs w:val="22"/>
        </w:rPr>
        <w:t xml:space="preserve">dS/dt = −β · S · I / N   (tasa de contagio)</w:t>
      </w:r>
    </w:p>
    <w:p>
      <w:pPr>
        <w:pStyle w:val="ListParagraph"/>
        <w:numPr>
          <w:ilvl w:val="0"/>
          <w:numId w:val="2"/>
        </w:numPr>
        <w:spacing w:after="60" w:before="40" w:line="320" w:lineRule="auto"/>
        <w:jc w:val="both"/>
      </w:pPr>
      <w:r>
        <w:rPr>
          <w:rFonts w:ascii="Arial" w:cs="Arial" w:eastAsia="Arial" w:hAnsi="Arial"/>
          <w:sz w:val="22"/>
          <w:szCs w:val="22"/>
        </w:rPr>
        <w:t xml:space="preserve">dI/dt = β · S · I / N − γ · I   (balance neto de infectados)</w:t>
      </w:r>
    </w:p>
    <w:p>
      <w:pPr>
        <w:pStyle w:val="ListParagraph"/>
        <w:numPr>
          <w:ilvl w:val="0"/>
          <w:numId w:val="2"/>
        </w:numPr>
        <w:spacing w:after="60" w:before="40" w:line="320" w:lineRule="auto"/>
        <w:jc w:val="both"/>
      </w:pPr>
      <w:r>
        <w:rPr>
          <w:rFonts w:ascii="Arial" w:cs="Arial" w:eastAsia="Arial" w:hAnsi="Arial"/>
          <w:sz w:val="22"/>
          <w:szCs w:val="22"/>
        </w:rPr>
        <w:t xml:space="preserve">dR/dt = γ · I   (acumulación de removidos)</w:t>
      </w:r>
    </w:p>
    <w:p>
      <w:pPr>
        <w:pStyle w:val="Heading2"/>
        <w:spacing w:after="100" w:before="200"/>
      </w:pPr>
      <w:r>
        <w:rPr>
          <w:rFonts w:ascii="Arial" w:cs="Arial" w:eastAsia="Arial" w:hAnsi="Arial"/>
          <w:b/>
          <w:bCs/>
          <w:color w:val="1A1A2E"/>
          <w:sz w:val="28"/>
          <w:szCs w:val="28"/>
        </w:rPr>
        <w:t xml:space="preserve">5.2 Simulación Dual: TB Bovina vs. Fiebre Aftosa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src/models/sir_dual.py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Parámetro</w:t>
            </w:r>
          </w:p>
        </w:tc>
        <w:tc>
          <w:tcPr>
            <w:tcW w:type="dxa" w:w="33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TB Bovina (Endémica)</w:t>
            </w:r>
          </w:p>
        </w:tc>
        <w:tc>
          <w:tcPr>
            <w:tcW w:type="dxa" w:w="3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Fiebre Aftosa (Shock Exótico)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I₀ inicial</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7,558 animales (SENASICA 2024)</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 animal (importación)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R₀ estimado</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(Barlow, 1991)</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(Tildesley et al., 2006)</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Duración (1/γ)</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180 días (crónica)</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14 días (aguda)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 de I a 150 días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14,711 animales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18,752,410 animales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Interpretación</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Sangrado silencioso</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Colapso exponencial catastrófico</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Un único animal importado con Serotipo O puede incendiar más del 53% del hato nacional (18.7M de 35.1M) antes del día 150.</w:t>
      </w:r>
    </w:p>
    <w:p>
      <w:pPr>
        <w:spacing w:after="120" w:before="120"/>
        <w:jc w:val="center"/>
      </w:pPr>
      <w:r>
        <w:drawing>
          <wp:inline distT="0" distB="0" distL="0" distR="0">
            <wp:extent cx="4251960" cy="2743200"/>
            <wp:effectExtent t="0" r="0" b="0" l="0"/>
            <wp:docPr id="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9. Simulación SIR dual: Tuberculosis Bovina endémica vs. Fiebre Aftosa exótica.</w:t>
      </w:r>
    </w:p>
    <w:p>
      <w:pPr>
        <w:pStyle w:val="Heading1"/>
        <w:pageBreakBefore/>
        <w:spacing w:after="160" w:before="200"/>
      </w:pPr>
      <w:r>
        <w:rPr>
          <w:rFonts w:ascii="Arial" w:cs="Arial" w:eastAsia="Arial" w:hAnsi="Arial"/>
          <w:b/>
          <w:bCs/>
          <w:color w:val="9C223F"/>
          <w:sz w:val="36"/>
          <w:szCs w:val="36"/>
        </w:rPr>
        <w:t xml:space="preserve">6. Análisis de Impacto Económico</w:t>
      </w:r>
    </w:p>
    <w:p>
      <w:pPr>
        <w:pStyle w:val="Heading2"/>
        <w:spacing w:after="100" w:before="200"/>
      </w:pPr>
      <w:r>
        <w:rPr>
          <w:rFonts w:ascii="Arial" w:cs="Arial" w:eastAsia="Arial" w:hAnsi="Arial"/>
          <w:b/>
          <w:bCs/>
          <w:color w:val="1A1A2E"/>
          <w:sz w:val="28"/>
          <w:szCs w:val="28"/>
        </w:rPr>
        <w:t xml:space="preserve">6.1 TB Bovina: El "Cáncer Financiero" del Ganadero</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src/models/tb_storytelling_plot.py</w:t>
      </w:r>
    </w:p>
    <w:p>
      <w:pPr>
        <w:spacing w:after="120" w:before="60" w:line="360" w:lineRule="auto"/>
        <w:jc w:val="both"/>
      </w:pPr>
      <w:r>
        <w:rPr>
          <w:rFonts w:ascii="Arial" w:cs="Arial" w:eastAsia="Arial" w:hAnsi="Arial"/>
          <w:sz w:val="22"/>
          <w:szCs w:val="22"/>
        </w:rPr>
        <w:t xml:space="preserve">Dado que la curva de infectados de TB es estable (~14K animales) pero persistente durante años, el daño real es acumulativo. Se construyó un modelo económico basado en literatura científica:</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Caída en Producción: Rahman &amp; Samad (2009) reporta una caída del -17% en producción de leche por vaca infectada.</w:t>
      </w:r>
    </w:p>
    <w:p>
      <w:pPr>
        <w:pStyle w:val="ListParagraph"/>
        <w:numPr>
          <w:ilvl w:val="0"/>
          <w:numId w:val="2"/>
        </w:numPr>
        <w:spacing w:after="60" w:before="40" w:line="320" w:lineRule="auto"/>
        <w:jc w:val="both"/>
      </w:pPr>
      <w:r>
        <w:rPr>
          <w:rFonts w:ascii="Arial" w:cs="Arial" w:eastAsia="Arial" w:hAnsi="Arial"/>
          <w:sz w:val="22"/>
          <w:szCs w:val="22"/>
        </w:rPr>
        <w:t xml:space="preserve">Precio de la Leche (SIAP México, 2024): $6.50 MXN/litro.</w:t>
      </w:r>
    </w:p>
    <w:p>
      <w:pPr>
        <w:pStyle w:val="ListParagraph"/>
        <w:numPr>
          <w:ilvl w:val="0"/>
          <w:numId w:val="2"/>
        </w:numPr>
        <w:spacing w:after="60" w:before="40" w:line="320" w:lineRule="auto"/>
        <w:jc w:val="both"/>
      </w:pPr>
      <w:r>
        <w:rPr>
          <w:rFonts w:ascii="Arial" w:cs="Arial" w:eastAsia="Arial" w:hAnsi="Arial"/>
          <w:sz w:val="22"/>
          <w:szCs w:val="22"/>
        </w:rPr>
        <w:t xml:space="preserve">Producción Estándar: 18 litros/día por vaca (SAGARPA, 2023).</w:t>
      </w:r>
    </w:p>
    <w:p>
      <w:pPr>
        <w:pStyle w:val="ListParagraph"/>
        <w:numPr>
          <w:ilvl w:val="0"/>
          <w:numId w:val="2"/>
        </w:numPr>
        <w:spacing w:after="60" w:before="40" w:line="320" w:lineRule="auto"/>
        <w:jc w:val="both"/>
      </w:pPr>
      <w:r>
        <w:rPr>
          <w:rFonts w:ascii="Arial" w:cs="Arial" w:eastAsia="Arial" w:hAnsi="Arial"/>
          <w:sz w:val="22"/>
          <w:szCs w:val="22"/>
        </w:rPr>
        <w:t xml:space="preserve">Derivación: 18 L × 17% = 3.06 L perdidos → 3.06 × $6.50 = $19.89 MXN ≈ $1.10 USD diarios por vaca.</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Integrando el costo sobre 36 meses, la pérdida nacional asciende a $17.3 Millones de USD exclusivamente por caída en producción lechera.</w:t>
      </w:r>
    </w:p>
    <w:p>
      <w:pPr>
        <w:spacing w:after="120" w:before="120"/>
        <w:jc w:val="center"/>
      </w:pPr>
      <w:r>
        <w:drawing>
          <wp:inline distT="0" distB="0" distL="0" distR="0">
            <wp:extent cx="4251960" cy="2743200"/>
            <wp:effectExtent t="0" r="0" b="0" l="0"/>
            <wp:docPr id="1"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10. Impacto financiero acumulado de la Tuberculosis Bovina ($17.3M USD en 36 meses).</w:t>
      </w:r>
    </w:p>
    <w:p>
      <w:pPr>
        <w:pStyle w:val="Heading2"/>
        <w:spacing w:after="100" w:before="200"/>
      </w:pPr>
      <w:r>
        <w:rPr>
          <w:rFonts w:ascii="Arial" w:cs="Arial" w:eastAsia="Arial" w:hAnsi="Arial"/>
          <w:b/>
          <w:bCs/>
          <w:color w:val="1A1A2E"/>
          <w:sz w:val="28"/>
          <w:szCs w:val="28"/>
        </w:rPr>
        <w:t xml:space="preserve">6.2 Fiebre Aftosa: La Quiebra Automática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src/models/fmd_storytelling_plot.py</w:t>
      </w:r>
    </w:p>
    <w:p>
      <w:pPr>
        <w:spacing w:after="120" w:before="60" w:line="360" w:lineRule="auto"/>
        <w:jc w:val="both"/>
      </w:pPr>
      <w:r>
        <w:rPr>
          <w:rFonts w:ascii="Arial" w:cs="Arial" w:eastAsia="Arial" w:hAnsi="Arial"/>
          <w:sz w:val="22"/>
          <w:szCs w:val="22"/>
        </w:rPr>
        <w:t xml:space="preserve">A diferencia de la TB, la Fiebre Aftosa desencadena un colapso instantáneo:</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Pérdida Biológica: 500 kg en pie × $50 MXN = $25,000 MXN ≈ $1,250 USD por cabeza sacrificada (Fuente: SNIIM / Uniones Ganaderas).</w:t>
      </w:r>
    </w:p>
    <w:p>
      <w:pPr>
        <w:pStyle w:val="ListParagraph"/>
        <w:numPr>
          <w:ilvl w:val="0"/>
          <w:numId w:val="2"/>
        </w:numPr>
        <w:spacing w:after="60" w:before="40" w:line="320" w:lineRule="auto"/>
        <w:jc w:val="both"/>
      </w:pPr>
      <w:r>
        <w:rPr>
          <w:rFonts w:ascii="Arial" w:cs="Arial" w:eastAsia="Arial" w:hAnsi="Arial"/>
          <w:sz w:val="22"/>
          <w:szCs w:val="22"/>
        </w:rPr>
        <w:t xml:space="preserve">Cierre de Fronteras: Al declararse I₀=1, se activa un bloqueo OMSA a los $3,000 Millones USD anuales de exportación cárnica (pérdida de ~$8.2 Millones USD diarios).</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En menos de 150 días, la pérdida acumulada alcanza $22.8 Billones de Dólares (Billions USD).</w:t>
      </w:r>
    </w:p>
    <w:p>
      <w:pPr>
        <w:spacing w:after="120" w:before="120"/>
        <w:jc w:val="center"/>
      </w:pPr>
      <w:r>
        <w:drawing>
          <wp:inline distT="0" distB="0" distL="0" distR="0">
            <wp:extent cx="4251960" cy="2743200"/>
            <wp:effectExtent t="0" r="0" b="0" l="0"/>
            <wp:docPr id="1"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11. Colapso financiero catastrófico por Fiebre Aftosa ($22.8B USD en 150 días).</w:t>
      </w:r>
    </w:p>
    <w:p>
      <w:pPr>
        <w:pStyle w:val="Heading1"/>
        <w:pageBreakBefore/>
        <w:spacing w:after="160" w:before="200"/>
      </w:pPr>
      <w:r>
        <w:rPr>
          <w:rFonts w:ascii="Arial" w:cs="Arial" w:eastAsia="Arial" w:hAnsi="Arial"/>
          <w:b/>
          <w:bCs/>
          <w:color w:val="9C223F"/>
          <w:sz w:val="36"/>
          <w:szCs w:val="36"/>
        </w:rPr>
        <w:t xml:space="preserve">7. Arquitectura Operativa Propuesta</w:t>
      </w:r>
    </w:p>
    <w:p>
      <w:pPr>
        <w:pStyle w:val="Heading2"/>
        <w:spacing w:after="100" w:before="200"/>
      </w:pPr>
      <w:r>
        <w:rPr>
          <w:rFonts w:ascii="Arial" w:cs="Arial" w:eastAsia="Arial" w:hAnsi="Arial"/>
          <w:b/>
          <w:bCs/>
          <w:color w:val="1A1A2E"/>
          <w:sz w:val="28"/>
          <w:szCs w:val="28"/>
        </w:rPr>
        <w:t xml:space="preserve">7.1 Protocolo SENASICA Actual (DINESA)</w:t>
      </w:r>
    </w:p>
    <w:p>
      <w:pPr>
        <w:spacing w:after="120" w:before="60" w:line="360" w:lineRule="auto"/>
        <w:jc w:val="both"/>
      </w:pPr>
      <w:r>
        <w:rPr>
          <w:rFonts w:ascii="Arial" w:cs="Arial" w:eastAsia="Arial" w:hAnsi="Arial"/>
          <w:sz w:val="22"/>
          <w:szCs w:val="22"/>
        </w:rPr>
        <w:t xml:space="preserve">Cuando existe sospecha de FMD, la CPA (Comisión México-Estados Unidos para la Prevención de la Fiebre Aftosa) coordina la respuesta: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Veterinarios oficiales inspeccionan las lesiones.</w:t>
      </w:r>
    </w:p>
    <w:p>
      <w:pPr>
        <w:pStyle w:val="ListParagraph"/>
        <w:numPr>
          <w:ilvl w:val="0"/>
          <w:numId w:val="3"/>
        </w:numPr>
        <w:spacing w:after="80" w:before="40" w:line="320" w:lineRule="auto"/>
        <w:jc w:val="both"/>
      </w:pPr>
      <w:r>
        <w:rPr>
          <w:rFonts w:ascii="Arial" w:cs="Arial" w:eastAsia="Arial" w:hAnsi="Arial"/>
          <w:sz w:val="22"/>
          <w:szCs w:val="22"/>
        </w:rPr>
        <w:t xml:space="preserve">Se extraen muestras para un Laboratorio Nivel 3.</w:t>
      </w:r>
    </w:p>
    <w:p>
      <w:pPr>
        <w:pStyle w:val="ListParagraph"/>
        <w:numPr>
          <w:ilvl w:val="0"/>
          <w:numId w:val="3"/>
        </w:numPr>
        <w:spacing w:after="80" w:before="40" w:line="320" w:lineRule="auto"/>
        <w:jc w:val="both"/>
      </w:pPr>
      <w:r>
        <w:rPr>
          <w:rFonts w:ascii="Arial" w:cs="Arial" w:eastAsia="Arial" w:hAnsi="Arial"/>
          <w:sz w:val="22"/>
          <w:szCs w:val="22"/>
        </w:rPr>
        <w:t xml:space="preserve">Si positivo, se detona el DINESA (Dispositivo Nacional de Emergencia de Sanidad Animal).</w:t>
      </w:r>
    </w:p>
    <w:p>
      <w:pPr>
        <w:pStyle w:val="ListParagraph"/>
        <w:numPr>
          <w:ilvl w:val="0"/>
          <w:numId w:val="3"/>
        </w:numPr>
        <w:spacing w:after="80" w:before="40" w:line="320" w:lineRule="auto"/>
        <w:jc w:val="both"/>
      </w:pPr>
      <w:r>
        <w:rPr>
          <w:rFonts w:ascii="Arial" w:cs="Arial" w:eastAsia="Arial" w:hAnsi="Arial"/>
          <w:sz w:val="22"/>
          <w:szCs w:val="22"/>
        </w:rPr>
        <w:t xml:space="preserve">El Ejército y la Guardia Nacional clausuran fronteras estatales (Rifle Sanitario).</w:t>
      </w:r>
    </w:p>
    <w:p>
      <w:pPr>
        <w:pStyle w:val="Heading2"/>
        <w:spacing w:after="100" w:before="200"/>
      </w:pPr>
      <w:r>
        <w:rPr>
          <w:rFonts w:ascii="Arial" w:cs="Arial" w:eastAsia="Arial" w:hAnsi="Arial"/>
          <w:b/>
          <w:bCs/>
          <w:color w:val="1A1A2E"/>
          <w:sz w:val="28"/>
          <w:szCs w:val="28"/>
        </w:rPr>
        <w:t xml:space="preserve">7.2 El Cuello de Botella: El Productor Informal</w:t>
      </w:r>
    </w:p>
    <w:p>
      <w:pPr>
        <w:spacing w:after="120" w:before="60" w:line="360" w:lineRule="auto"/>
        <w:jc w:val="both"/>
      </w:pPr>
      <w:r>
        <w:rPr>
          <w:rFonts w:ascii="Arial" w:cs="Arial" w:eastAsia="Arial" w:hAnsi="Arial"/>
          <w:sz w:val="22"/>
          <w:szCs w:val="22"/>
        </w:rPr>
        <w:t xml:space="preserve">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pPr>
        <w:pStyle w:val="Heading2"/>
        <w:spacing w:after="100" w:before="200"/>
      </w:pPr>
      <w:r>
        <w:rPr>
          <w:rFonts w:ascii="Arial" w:cs="Arial" w:eastAsia="Arial" w:hAnsi="Arial"/>
          <w:b/>
          <w:bCs/>
          <w:color w:val="1A1A2E"/>
          <w:sz w:val="28"/>
          <w:szCs w:val="28"/>
        </w:rPr>
        <w:t xml:space="preserve">7.3 Propuesta: Sistema de Inteligencia Epidémica Basado en Incentivos</w:t>
      </w:r>
    </w:p>
    <w:p>
      <w:pPr>
        <w:pStyle w:val="Heading3"/>
        <w:spacing w:after="80" w:before="160"/>
      </w:pPr>
      <w:r>
        <w:rPr>
          <w:rFonts w:ascii="Arial" w:cs="Arial" w:eastAsia="Arial" w:hAnsi="Arial"/>
          <w:b/>
          <w:bCs/>
          <w:color w:val="9C223F"/>
          <w:sz w:val="24"/>
          <w:szCs w:val="24"/>
        </w:rPr>
        <w:t xml:space="preserve">Para el Ganadero (App Móvil)</w:t>
      </w:r>
    </w:p>
    <w:p>
      <w:pPr>
        <w:spacing w:after="120" w:before="60" w:line="360" w:lineRule="auto"/>
        <w:jc w:val="both"/>
      </w:pPr>
      <w:r>
        <w:rPr>
          <w:rFonts w:ascii="Arial" w:cs="Arial" w:eastAsia="Arial" w:hAnsi="Arial"/>
          <w:sz w:val="22"/>
          <w:szCs w:val="22"/>
        </w:rPr>
        <w:t xml:space="preserve">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pPr>
        <w:pStyle w:val="Heading3"/>
        <w:spacing w:after="80" w:before="160"/>
      </w:pPr>
      <w:r>
        <w:rPr>
          <w:rFonts w:ascii="Arial" w:cs="Arial" w:eastAsia="Arial" w:hAnsi="Arial"/>
          <w:b/>
          <w:bCs/>
          <w:color w:val="9C223F"/>
          <w:sz w:val="24"/>
          <w:szCs w:val="24"/>
        </w:rPr>
        <w:t xml:space="preserve">Para la Autoridad (Dashboard NoSQL)</w:t>
      </w:r>
    </w:p>
    <w:p>
      <w:pPr>
        <w:spacing w:after="120" w:before="60" w:line="360" w:lineRule="auto"/>
        <w:jc w:val="both"/>
      </w:pPr>
      <w:r>
        <w:rPr>
          <w:rFonts w:ascii="Arial" w:cs="Arial" w:eastAsia="Arial" w:hAnsi="Arial"/>
          <w:sz w:val="22"/>
          <w:szCs w:val="22"/>
        </w:rPr>
        <w:t xml:space="preserve">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pPr>
        <w:pStyle w:val="Heading1"/>
        <w:pageBreakBefore/>
        <w:spacing w:after="160" w:before="200"/>
      </w:pPr>
      <w:r>
        <w:rPr>
          <w:rFonts w:ascii="Arial" w:cs="Arial" w:eastAsia="Arial" w:hAnsi="Arial"/>
          <w:b/>
          <w:bCs/>
          <w:color w:val="9C223F"/>
          <w:sz w:val="36"/>
          <w:szCs w:val="36"/>
        </w:rPr>
        <w:t xml:space="preserve">8. Estado de Avance por Materia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626"/>
      </w:tblGrid>
      <w:tr>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Materia</w:t>
            </w:r>
          </w:p>
        </w:tc>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Componente</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c>
          <w:tcPr>
            <w:tcW w:type="dxa" w:w="26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Ecuaciones Diferenciales</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Modelo SIR Dual (TB vs FMD)</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sir_dual.py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Bases de Datos NoSQL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Warehouse CSV→JSON + Pydantic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csv_to_json.py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Estadística Multivariada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EDA + ANOVA + Correlación</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notebooks/01-03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Inteligencia Artificial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XGBoost Clasificador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En diseño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definidas</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Criptografía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Cifrado César + RSA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En progreso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Tarea delegada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Finanzas Corporativas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Modelos impacto TB + FMD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storytelling_plot.py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Innovación Social</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App + Dashboard + DINESA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Conceptualizado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Sección 7</w:t>
            </w:r>
          </w:p>
        </w:tc>
      </w:tr>
    </w:tbl>
    <w:p>
      <w:pPr>
        <w:pStyle w:val="Heading1"/>
        <w:pageBreakBefore/>
        <w:spacing w:after="160" w:before="200"/>
      </w:pPr>
      <w:r>
        <w:rPr>
          <w:rFonts w:ascii="Arial" w:cs="Arial" w:eastAsia="Arial" w:hAnsi="Arial"/>
          <w:b/>
          <w:bCs/>
          <w:color w:val="9C223F"/>
          <w:sz w:val="36"/>
          <w:szCs w:val="36"/>
        </w:rPr>
        <w:t xml:space="preserve">9. Bibliografía</w:t>
      </w:r>
    </w:p>
    <w:p>
      <w:pPr>
        <w:spacing w:after="120" w:before="60" w:line="360" w:lineRule="auto"/>
        <w:jc w:val="both"/>
      </w:pPr>
      <w:r>
        <w:rPr>
          <w:rFonts w:ascii="Arial" w:cs="Arial" w:eastAsia="Arial" w:hAnsi="Arial"/>
          <w:sz w:val="22"/>
          <w:szCs w:val="22"/>
        </w:rPr>
        <w:t xml:space="preserve">Barlow, N.D. (1991). A spatially aggregated disease/host model for bovine Tb in New Zealand possum populations. Journal of Applied Ecology, 28(3), 777-793.</w:t>
      </w:r>
    </w:p>
    <w:p>
      <w:pPr>
        <w:spacing w:after="120" w:before="60" w:line="360" w:lineRule="auto"/>
        <w:jc w:val="both"/>
      </w:pPr>
      <w:r>
        <w:rPr>
          <w:rFonts w:ascii="Arial" w:cs="Arial" w:eastAsia="Arial" w:hAnsi="Arial"/>
          <w:sz w:val="22"/>
          <w:szCs w:val="22"/>
        </w:rPr>
        <w:t xml:space="preserve">Brauer, F., &amp; Castillo-Chávez, C. (2012). Mathematical Models in Population Biology and Epidemiology. Springer.</w:t>
      </w:r>
    </w:p>
    <w:p>
      <w:pPr>
        <w:spacing w:after="120" w:before="60" w:line="360" w:lineRule="auto"/>
        <w:jc w:val="both"/>
      </w:pPr>
      <w:r>
        <w:rPr>
          <w:rFonts w:ascii="Arial" w:cs="Arial" w:eastAsia="Arial" w:hAnsi="Arial"/>
          <w:sz w:val="22"/>
          <w:szCs w:val="22"/>
        </w:rPr>
        <w:t xml:space="preserve">FAO. (2026). Update on Foot-and-Mouth Disease outbreaks in Europe and the Near East. Organización de las Naciones Unidas para la Alimentación y la Agricultura.</w:t>
      </w:r>
    </w:p>
    <w:p>
      <w:pPr>
        <w:spacing w:after="120" w:before="60" w:line="360" w:lineRule="auto"/>
        <w:jc w:val="both"/>
      </w:pPr>
      <w:r>
        <w:rPr>
          <w:rFonts w:ascii="Arial" w:cs="Arial" w:eastAsia="Arial" w:hAnsi="Arial"/>
          <w:sz w:val="22"/>
          <w:szCs w:val="22"/>
        </w:rPr>
        <w:t xml:space="preserve">Kermack, W. O., &amp; McKendrick, A. G. (1927). A contribution to the mathematical theory of epidemics. Proceedings of the Royal Society of London A, 115(772), 700-721.</w:t>
      </w:r>
    </w:p>
    <w:p>
      <w:pPr>
        <w:spacing w:after="120" w:before="60" w:line="360" w:lineRule="auto"/>
        <w:jc w:val="both"/>
      </w:pPr>
      <w:r>
        <w:rPr>
          <w:rFonts w:ascii="Arial" w:cs="Arial" w:eastAsia="Arial" w:hAnsi="Arial"/>
          <w:sz w:val="22"/>
          <w:szCs w:val="22"/>
        </w:rPr>
        <w:t xml:space="preserve">Rahman, M. A., &amp; Samad, M. A. (2009). Effect of bovine tuberculosis on milk production. Bangladesh Journal of Veterinary Medicine, 7(2), 287-290.</w:t>
      </w:r>
    </w:p>
    <w:p>
      <w:pPr>
        <w:spacing w:after="120" w:before="60" w:line="360" w:lineRule="auto"/>
        <w:jc w:val="both"/>
      </w:pPr>
      <w:r>
        <w:rPr>
          <w:rFonts w:ascii="Arial" w:cs="Arial" w:eastAsia="Arial" w:hAnsi="Arial"/>
          <w:sz w:val="22"/>
          <w:szCs w:val="22"/>
        </w:rPr>
        <w:t xml:space="preserve">SENASICA. (2024). Boletín Trimestral de Cuarentenas de Tuberculosis Bovina. Servicio Nacional de Sanidad, Inocuidad y Calidad Agroalimentaria.</w:t>
      </w:r>
    </w:p>
    <w:p>
      <w:pPr>
        <w:spacing w:after="120" w:before="60" w:line="360" w:lineRule="auto"/>
        <w:jc w:val="both"/>
      </w:pPr>
      <w:r>
        <w:rPr>
          <w:rFonts w:ascii="Arial" w:cs="Arial" w:eastAsia="Arial" w:hAnsi="Arial"/>
          <w:sz w:val="22"/>
          <w:szCs w:val="22"/>
        </w:rPr>
        <w:t xml:space="preserve">SIAP. (2024). Panorama Agroalimentario 2024. Servicio de Información Agroalimentaria y Pesquera, México.</w:t>
      </w:r>
    </w:p>
    <w:p>
      <w:pPr>
        <w:spacing w:after="120" w:before="60" w:line="360" w:lineRule="auto"/>
        <w:jc w:val="both"/>
      </w:pPr>
      <w:r>
        <w:rPr>
          <w:rFonts w:ascii="Arial" w:cs="Arial" w:eastAsia="Arial" w:hAnsi="Arial"/>
          <w:sz w:val="22"/>
          <w:szCs w:val="22"/>
        </w:rPr>
        <w:t xml:space="preserve">Tildesley, M. J. et al. (2006). Optimal reactive vaccination strategies for a foot-and-mouth disease outbreak in the UK. Nature, 440, 83-86.</w:t>
      </w:r>
    </w:p>
    <w:p>
      <w:pPr>
        <w:spacing w:after="120" w:before="60" w:line="360" w:lineRule="auto"/>
        <w:jc w:val="both"/>
      </w:pPr>
      <w:r>
        <w:rPr>
          <w:rFonts w:ascii="Arial" w:cs="Arial" w:eastAsia="Arial" w:hAnsi="Arial"/>
          <w:sz w:val="22"/>
          <w:szCs w:val="22"/>
        </w:rPr>
        <w:t xml:space="preserve">WOAH. (2026). Emergence of FMD Serotype SAT1 in the Golan region: Regional implications. Organización Mundial de Sanidad Animal.</w:t>
      </w:r>
    </w:p>
    <w:p>
      <w:pPr>
        <w:spacing w:after="120" w:before="60" w:line="360" w:lineRule="auto"/>
        <w:jc w:val="both"/>
      </w:pPr>
      <w:r>
        <w:rPr>
          <w:rFonts w:ascii="Arial" w:cs="Arial" w:eastAsia="Arial" w:hAnsi="Arial"/>
          <w:sz w:val="22"/>
          <w:szCs w:val="22"/>
        </w:rPr>
        <w:t xml:space="preserve">WRLFMD / openFMD. (2025). World Reference Laboratory for Foot-and-Mouth Disease — Open Data Portal. The Pirbright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223F" w:sz="4" w:space="1"/>
      </w:pBdr>
      <w:jc w:val="center"/>
    </w:pPr>
    <w:r>
      <w:rPr>
        <w:rFonts w:ascii="Arial" w:cs="Arial" w:eastAsia="Arial" w:hAnsi="Arial"/>
        <w:color w:val="1A1A2E"/>
        <w:sz w:val="18"/>
        <w:szCs w:val="18"/>
      </w:rPr>
      <w:t xml:space="preserve">Página </w:t>
    </w:r>
    <w:r>
      <w:rPr>
        <w:rFonts w:ascii="Arial" w:cs="Arial" w:eastAsia="Arial" w:hAnsi="Arial"/>
        <w:color w:val="9C223F"/>
        <w:sz w:val="18"/>
        <w:szCs w:val="18"/>
      </w:rPr>
      <w:fldChar w:fldCharType="begin"/>
      <w:instrText xml:space="preserve">PAGE</w:instrText>
      <w:fldChar w:fldCharType="separate"/>
      <w:fldChar w:fldCharType="end"/>
    </w:r>
    <w:r>
      <w:rPr>
        <w:rFonts w:ascii="Arial" w:cs="Arial" w:eastAsia="Arial" w:hAnsi="Arial"/>
        <w:color w:val="1A1A2E"/>
        <w:sz w:val="18"/>
        <w:szCs w:val="18"/>
      </w:rPr>
      <w:t xml:space="preserve"> de </w:t>
    </w:r>
    <w:r>
      <w:rPr>
        <w:rFonts w:ascii="Arial" w:cs="Arial" w:eastAsia="Arial" w:hAnsi="Arial"/>
        <w:color w:val="1A1A2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1"/>
      </w:pBdr>
      <w:jc w:val="right"/>
    </w:pPr>
    <w:r>
      <w:rPr>
        <w:rFonts w:ascii="Arial" w:cs="Arial" w:eastAsia="Arial" w:hAnsi="Arial"/>
        <w:i/>
        <w:iCs/>
        <w:color w:val="9C223F"/>
        <w:sz w:val="18"/>
        <w:szCs w:val="18"/>
      </w:rPr>
      <w:t xml:space="preserve">Ganado Saludable — Segundo Avance  |  UNRC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9C223F"/>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1A2E"/>
      <w:sz w:val="28"/>
      <w:szCs w:val="28"/>
    </w:rPr>
  </w:style>
  <w:style w:type="paragraph" w:styleId="Heading3">
    <w:name w:val="Heading 3"/>
    <w:basedOn w:val="Normal"/>
    <w:next w:val="Normal"/>
    <w:qFormat/>
    <w:pPr>
      <w:spacing w:after="80" w:before="160"/>
      <w:outlineLvl w:val="2"/>
    </w:pPr>
    <w:rPr>
      <w:rFonts w:ascii="Arial" w:cs="Arial" w:eastAsia="Arial" w:hAnsi="Arial"/>
      <w:b/>
      <w:bCs/>
      <w:color w:val="9C22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8cf2cbb5725f17b893707f0d271b7b29cc2015.png"/><Relationship Id="rId10" Type="http://schemas.openxmlformats.org/officeDocument/2006/relationships/image" Target="media/7a67afd4cf5452a4b2aeef8e3604a797e3346549.png"/><Relationship Id="rId11" Type="http://schemas.openxmlformats.org/officeDocument/2006/relationships/image" Target="media/ce631b64c7ef1ac7371dc6a793e0da49cb764d56.png"/><Relationship Id="rId12" Type="http://schemas.openxmlformats.org/officeDocument/2006/relationships/image" Target="media/e18af9bb5090645bbba5501f6722ccc71b04b8c2.png"/><Relationship Id="rId13" Type="http://schemas.openxmlformats.org/officeDocument/2006/relationships/image" Target="media/6fe58b57806db79b229f47f1191e29211ec44741.png"/><Relationship Id="rId14" Type="http://schemas.openxmlformats.org/officeDocument/2006/relationships/image" Target="media/28e9d29bdb26169071618efc7ade08764c9979c2.png"/><Relationship Id="rId15" Type="http://schemas.openxmlformats.org/officeDocument/2006/relationships/image" Target="media/a29221637b614fb52750b9039ec3fa059d2ddb60.png"/><Relationship Id="rId16" Type="http://schemas.openxmlformats.org/officeDocument/2006/relationships/image" Target="media/dfa89e9851cc03b24edd4879114a279d1ee0324a.png"/><Relationship Id="rId17" Type="http://schemas.openxmlformats.org/officeDocument/2006/relationships/image" Target="media/d58622118a8a84eb830d22d6bc5e978405670825.png"/><Relationship Id="rId18" Type="http://schemas.openxmlformats.org/officeDocument/2006/relationships/image" Target="media/16c03caf6285c06b3e622ee71429f447c15e02f2.png"/><Relationship Id="rId19" Type="http://schemas.openxmlformats.org/officeDocument/2006/relationships/image" Target="media/ddfe666b0c60664dad35dbb1202d3d356401f5cc.png"/><Relationship Id="rId20" Type="http://schemas.openxmlformats.org/officeDocument/2006/relationships/image" Target="media/eed5b6adf32a9304b30126f9f20379ee77176b76.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2026-04-30T14:17:23.961Z</dcterms:created>
  <dcterms:modified xsi:type="dcterms:W3CDTF">2026-04-30T14:17:23.971Z</dcterms:modified>
</cp:coreProperties>
</file>

<file path=docProps/custom.xml><?xml version="1.0" encoding="utf-8"?>
<Properties xmlns="http://schemas.openxmlformats.org/officeDocument/2006/custom-properties" xmlns:vt="http://schemas.openxmlformats.org/officeDocument/2006/docPropsVTypes"/>
</file>