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1"/>
      </w:tblGrid>
      <w:tr>
        <w:tc>
          <w:tcPr>
            <w:tcW w:type="dxa" w:w="9406"/>
            <w:shd w:fill="9F2241"/>
            <w:tcMar>
              <w:top w:w="35" w:type="dxa"/>
              <w:start w:w="40" w:type="dxa"/>
              <w:bottom w:w="35" w:type="dxa"/>
              <w:end w:w="40" w:type="dxa"/>
            </w:tcMar>
            <w:vAlign w:val="center"/>
          </w:tcPr>
          <w:p>
            <w:pPr>
              <w:spacing w:after="0" w:before="0"/>
              <w:jc w:val="center"/>
            </w:pPr>
            <w:r/>
            <w:r>
              <w:rPr>
                <w:rFonts w:ascii="Times New Roman" w:hAnsi="Times New Roman" w:eastAsia="Times New Roman"/>
                <w:b w:val="0"/>
                <w:color w:val="FFFFFF"/>
                <w:sz w:val="8"/>
              </w:rPr>
              <w:t xml:space="preserve"> </w:t>
            </w:r>
          </w:p>
        </w:tc>
      </w:tr>
    </w:tbl>
    <w:p>
      <w:pPr>
        <w:spacing w:before="160" w:after="80" w:line="240" w:lineRule="auto"/>
        <w:jc w:val="center"/>
      </w:pPr>
      <w:r>
        <w:drawing>
          <wp:inline xmlns:a="http://schemas.openxmlformats.org/drawingml/2006/main" xmlns:pic="http://schemas.openxmlformats.org/drawingml/2006/picture">
            <wp:extent cx="2926080" cy="746150"/>
            <wp:docPr id="1" name="Picture 1"/>
            <wp:cNvGraphicFramePr>
              <a:graphicFrameLocks noChangeAspect="1"/>
            </wp:cNvGraphicFramePr>
            <a:graphic>
              <a:graphicData uri="http://schemas.openxmlformats.org/drawingml/2006/picture">
                <pic:pic>
                  <pic:nvPicPr>
                    <pic:cNvPr id="0" name="Logo_CDMX.png"/>
                    <pic:cNvPicPr/>
                  </pic:nvPicPr>
                  <pic:blipFill>
                    <a:blip r:embed="rId9"/>
                    <a:stretch>
                      <a:fillRect/>
                    </a:stretch>
                  </pic:blipFill>
                  <pic:spPr>
                    <a:xfrm>
                      <a:off x="0" y="0"/>
                      <a:ext cx="2926080" cy="746150"/>
                    </a:xfrm>
                    <a:prstGeom prst="rect"/>
                  </pic:spPr>
                </pic:pic>
              </a:graphicData>
            </a:graphic>
          </wp:inline>
        </w:drawing>
      </w:r>
    </w:p>
    <w:p>
      <w:pPr>
        <w:spacing w:before="0" w:after="160" w:line="240" w:lineRule="auto"/>
        <w:jc w:val="center"/>
      </w:pPr>
      <w:r>
        <w:drawing>
          <wp:inline xmlns:a="http://schemas.openxmlformats.org/drawingml/2006/main" xmlns:pic="http://schemas.openxmlformats.org/drawingml/2006/picture">
            <wp:extent cx="3657600" cy="685800"/>
            <wp:docPr id="2" name="Picture 2"/>
            <wp:cNvGraphicFramePr>
              <a:graphicFrameLocks noChangeAspect="1"/>
            </wp:cNvGraphicFramePr>
            <a:graphic>
              <a:graphicData uri="http://schemas.openxmlformats.org/drawingml/2006/picture">
                <pic:pic>
                  <pic:nvPicPr>
                    <pic:cNvPr id="0" name="Logo_Dependencia.png"/>
                    <pic:cNvPicPr/>
                  </pic:nvPicPr>
                  <pic:blipFill>
                    <a:blip r:embed="rId10"/>
                    <a:stretch>
                      <a:fillRect/>
                    </a:stretch>
                  </pic:blipFill>
                  <pic:spPr>
                    <a:xfrm>
                      <a:off x="0" y="0"/>
                      <a:ext cx="3657600" cy="685800"/>
                    </a:xfrm>
                    <a:prstGeom prst="rect"/>
                  </pic:spPr>
                </pic:pic>
              </a:graphicData>
            </a:graphic>
          </wp:inline>
        </w:drawing>
      </w:r>
    </w:p>
    <w:p>
      <w:pPr>
        <w:spacing w:before="160" w:after="80" w:line="240" w:lineRule="auto"/>
        <w:jc w:val="center"/>
      </w:pPr>
      <w:r>
        <w:rPr>
          <w:rFonts w:ascii="Cambria" w:hAnsi="Cambria" w:eastAsia="Cambria"/>
          <w:b/>
          <w:color w:val="9F2241"/>
          <w:sz w:val="48"/>
        </w:rPr>
        <w:t>Ganado Saludable</w:t>
      </w:r>
    </w:p>
    <w:p>
      <w:pPr>
        <w:spacing w:before="0" w:after="240" w:line="240" w:lineRule="auto"/>
        <w:jc w:val="center"/>
      </w:pPr>
      <w:r>
        <w:rPr>
          <w:rFonts w:ascii="Cambria" w:hAnsi="Cambria" w:eastAsia="Cambria"/>
          <w:b/>
          <w:color w:val="EFA100"/>
          <w:sz w:val="28"/>
        </w:rPr>
        <w:t>Primer avance del proyecto prototípico</w:t>
      </w:r>
    </w:p>
    <w:p>
      <w:pPr>
        <w:spacing w:before="0" w:after="200" w:line="240" w:lineRule="auto"/>
        <w:jc w:val="center"/>
      </w:pPr>
      <w:r>
        <w:rPr>
          <w:rFonts w:ascii="Times New Roman" w:hAnsi="Times New Roman" w:eastAsia="Times New Roman"/>
          <w:i/>
          <w:color w:val="2E2E2E"/>
          <w:sz w:val="24"/>
        </w:rPr>
        <w:t>Infraestructura de auditoría sistémica de externalidades bovinas en México</w:t>
      </w:r>
    </w:p>
    <w:tbl>
      <w:tblPr>
        <w:tblW w:type="auto" w:w="0"/>
        <w:jc w:val="center"/>
        <w:tblLayout w:type="fixed"/>
        <w:tblLook w:firstColumn="1" w:firstRow="1" w:lastColumn="0" w:lastRow="0" w:noHBand="0" w:noVBand="1" w:val="04A0"/>
      </w:tblPr>
      <w:tblGrid>
        <w:gridCol w:w="4703"/>
        <w:gridCol w:w="4703"/>
      </w:tblGrid>
      <w:tr>
        <w:tc>
          <w:tcPr>
            <w:tcW w:type="dxa" w:w="2948"/>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Fecha</w:t>
            </w:r>
          </w:p>
        </w:tc>
        <w:tc>
          <w:tcPr>
            <w:tcW w:type="dxa" w:w="6123"/>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2"/>
              </w:rPr>
              <w:t>26 de marzo de 2026</w:t>
            </w:r>
          </w:p>
        </w:tc>
      </w:tr>
      <w:tr>
        <w:tc>
          <w:tcPr>
            <w:tcW w:type="dxa" w:w="2948"/>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Licenciatura</w:t>
            </w:r>
          </w:p>
        </w:tc>
        <w:tc>
          <w:tcPr>
            <w:tcW w:type="dxa" w:w="6123"/>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2"/>
              </w:rPr>
              <w:t>Ciencias de Datos para Negocios</w:t>
            </w:r>
          </w:p>
        </w:tc>
      </w:tr>
      <w:tr>
        <w:tc>
          <w:tcPr>
            <w:tcW w:type="dxa" w:w="2948"/>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Semestre</w:t>
            </w:r>
          </w:p>
        </w:tc>
        <w:tc>
          <w:tcPr>
            <w:tcW w:type="dxa" w:w="6123"/>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2"/>
              </w:rPr>
              <w:t>4° (Semestre 2026-1)</w:t>
            </w:r>
          </w:p>
        </w:tc>
      </w:tr>
      <w:tr>
        <w:tc>
          <w:tcPr>
            <w:tcW w:type="dxa" w:w="2948"/>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Institución</w:t>
            </w:r>
          </w:p>
        </w:tc>
        <w:tc>
          <w:tcPr>
            <w:tcW w:type="dxa" w:w="6123"/>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2"/>
              </w:rPr>
              <w:t>Universidad Nacional "Rosario Castellanos"</w:t>
            </w:r>
          </w:p>
        </w:tc>
      </w:tr>
      <w:tr>
        <w:tc>
          <w:tcPr>
            <w:tcW w:type="dxa" w:w="2948"/>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Docente</w:t>
            </w:r>
          </w:p>
        </w:tc>
        <w:tc>
          <w:tcPr>
            <w:tcW w:type="dxa" w:w="6123"/>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2"/>
              </w:rPr>
              <w:t>Víctor Hugo Reyes Anselmo</w:t>
            </w:r>
          </w:p>
        </w:tc>
      </w:tr>
    </w:tbl>
    <w:p>
      <w:pPr>
        <w:spacing w:before="320" w:after="120" w:line="240" w:lineRule="auto"/>
        <w:jc w:val="center"/>
      </w:pPr>
      <w:r>
        <w:rPr>
          <w:rFonts w:ascii="Times New Roman" w:hAnsi="Times New Roman" w:eastAsia="Times New Roman"/>
          <w:i/>
          <w:color w:val="EFA100"/>
          <w:sz w:val="20"/>
        </w:rPr>
        <w:t>Paleta institucional consultada en el sitio oficial de la UNRC: carmesí #9F2241 y dorado #EFA100.</w:t>
      </w:r>
    </w:p>
    <w:p>
      <w:pPr>
        <w:spacing w:before="0" w:after="0" w:line="240" w:lineRule="auto"/>
        <w:jc w:val="center"/>
      </w:pPr>
      <w:r>
        <w:rPr>
          <w:rFonts w:ascii="Times New Roman" w:hAnsi="Times New Roman" w:eastAsia="Times New Roman"/>
          <w:color w:val="2E2E2E"/>
          <w:sz w:val="20"/>
        </w:rPr>
        <w:t>Documento preparado para presentación académica.</w:t>
      </w:r>
    </w:p>
    <w:p>
      <w:pPr>
        <w:sectPr>
          <w:pgSz w:w="12240" w:h="15840"/>
          <w:pgMar w:top="1417" w:right="1417" w:bottom="1134" w:left="1417" w:header="567" w:footer="567" w:gutter="0"/>
          <w:cols w:space="720"/>
          <w:docGrid w:linePitch="360"/>
        </w:sectPr>
      </w:pPr>
    </w:p>
    <w:p>
      <w:pPr>
        <w:pStyle w:val="Heading1"/>
        <w:spacing w:before="240" w:after="120" w:line="264" w:lineRule="auto"/>
      </w:pPr>
      <w:r>
        <w:rPr>
          <w:rFonts w:ascii="Cambria" w:hAnsi="Cambria" w:eastAsia="Cambria"/>
          <w:b/>
          <w:color w:val="9F2241"/>
          <w:sz w:val="30"/>
        </w:rPr>
        <w:t>Índice</w:t>
      </w:r>
    </w:p>
    <w:p>
      <w:pPr>
        <w:spacing w:before="0" w:after="120" w:line="252" w:lineRule="auto"/>
      </w:pPr>
      <w:r>
        <w:rPr>
          <w:rFonts w:ascii="Times New Roman" w:hAnsi="Times New Roman" w:eastAsia="Times New Roman"/>
          <w:i/>
          <w:color w:val="EFA100"/>
          <w:sz w:val="20"/>
        </w:rPr>
        <w:t>Tabla de contenido referencial. Las páginas pueden variar levemente según el visor o la actualización automática del documento.</w:t>
      </w:r>
    </w:p>
    <w:p>
      <w:pPr>
        <w:spacing w:before="0" w:after="160" w:line="240" w:lineRule="auto"/>
        <w:jc w:val="left"/>
      </w:pPr>
      <w:r>
        <w:fldChar w:fldCharType="begin"/>
        <w:instrText xml:space="preserve">TOC \o "1-3" \h \z \u</w:instrText>
        <w:fldChar w:fldCharType="separate"/>
        <w:t>Tabla de contenido</w:t>
        <w:fldChar w:fldCharType="end"/>
      </w:r>
    </w:p>
    <w:tbl>
      <w:tblPr>
        <w:tblW w:type="auto" w:w="0"/>
        <w:jc w:val="center"/>
        <w:tblLayout w:type="fixed"/>
        <w:tblLook w:firstColumn="1" w:firstRow="1" w:lastColumn="0" w:lastRow="0" w:noHBand="0" w:noVBand="1" w:val="04A0"/>
      </w:tblPr>
      <w:tblGrid>
        <w:gridCol w:w="7597"/>
        <w:gridCol w:w="1474"/>
      </w:tblGrid>
      <w:tr>
        <w:tc>
          <w:tcPr>
            <w:tcW w:type="dxa" w:w="4703"/>
            <w:shd w:fill="9F2241"/>
            <w:tcMar>
              <w:top w:w="80" w:type="dxa"/>
              <w:start w:w="120" w:type="dxa"/>
              <w:bottom w:w="80" w:type="dxa"/>
              <w:end w:w="120" w:type="dxa"/>
            </w:tcMar>
            <w:vAlign w:val="center"/>
          </w:tcPr>
          <w:p>
            <w:pPr>
              <w:spacing w:after="0" w:before="0"/>
              <w:jc w:val="left"/>
            </w:pPr>
            <w:r/>
            <w:r>
              <w:rPr>
                <w:rFonts w:ascii="Times New Roman" w:hAnsi="Times New Roman" w:eastAsia="Times New Roman"/>
                <w:b/>
                <w:color w:val="FFFFFF"/>
                <w:sz w:val="22"/>
              </w:rPr>
              <w:t>Sección</w:t>
            </w:r>
          </w:p>
        </w:tc>
        <w:tc>
          <w:tcPr>
            <w:tcW w:type="dxa" w:w="4703"/>
            <w:shd w:fill="EFA100"/>
            <w:tcMar>
              <w:top w:w="80" w:type="dxa"/>
              <w:start w:w="120" w:type="dxa"/>
              <w:bottom w:w="80" w:type="dxa"/>
              <w:end w:w="120" w:type="dxa"/>
            </w:tcMar>
            <w:vAlign w:val="center"/>
          </w:tcPr>
          <w:p>
            <w:pPr>
              <w:spacing w:after="0" w:before="0"/>
              <w:jc w:val="center"/>
            </w:pPr>
            <w:r/>
            <w:r>
              <w:rPr>
                <w:rFonts w:ascii="Times New Roman" w:hAnsi="Times New Roman" w:eastAsia="Times New Roman"/>
                <w:b/>
                <w:color w:val="FFFFFF"/>
                <w:sz w:val="22"/>
              </w:rPr>
              <w:t>Pág.</w:t>
            </w:r>
          </w:p>
        </w:tc>
      </w:tr>
      <w:tr>
        <w:tc>
          <w:tcPr>
            <w:tcW w:type="dxa" w:w="7597"/>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1. Introducción y contexto</w:t>
            </w:r>
          </w:p>
        </w:tc>
        <w:tc>
          <w:tcPr>
            <w:tcW w:type="dxa" w:w="1474"/>
            <w:shd w:fill="FFFDF8"/>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3</w:t>
            </w:r>
          </w:p>
        </w:tc>
      </w:tr>
      <w:tr>
        <w:tc>
          <w:tcPr>
            <w:tcW w:type="dxa" w:w="7597"/>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2. Planteamiento del problema</w:t>
            </w:r>
          </w:p>
        </w:tc>
        <w:tc>
          <w:tcPr>
            <w:tcW w:type="dxa" w:w="1474"/>
            <w:shd w:fill="FFF7E6"/>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3</w:t>
            </w:r>
          </w:p>
        </w:tc>
      </w:tr>
      <w:tr>
        <w:tc>
          <w:tcPr>
            <w:tcW w:type="dxa" w:w="7597"/>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3. Objetivos</w:t>
            </w:r>
          </w:p>
        </w:tc>
        <w:tc>
          <w:tcPr>
            <w:tcW w:type="dxa" w:w="1474"/>
            <w:shd w:fill="FFFDF8"/>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3</w:t>
            </w:r>
          </w:p>
        </w:tc>
      </w:tr>
      <w:tr>
        <w:tc>
          <w:tcPr>
            <w:tcW w:type="dxa" w:w="7597"/>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4. Marco teórico y avance de investigación sustancial</w:t>
            </w:r>
          </w:p>
        </w:tc>
        <w:tc>
          <w:tcPr>
            <w:tcW w:type="dxa" w:w="1474"/>
            <w:shd w:fill="FFF7E6"/>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4</w:t>
            </w:r>
          </w:p>
        </w:tc>
      </w:tr>
      <w:tr>
        <w:tc>
          <w:tcPr>
            <w:tcW w:type="dxa" w:w="7597"/>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5. Instrumentación analítica específica</w:t>
            </w:r>
          </w:p>
        </w:tc>
        <w:tc>
          <w:tcPr>
            <w:tcW w:type="dxa" w:w="1474"/>
            <w:shd w:fill="FFFDF8"/>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4</w:t>
            </w:r>
          </w:p>
        </w:tc>
      </w:tr>
      <w:tr>
        <w:tc>
          <w:tcPr>
            <w:tcW w:type="dxa" w:w="7597"/>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6. Propuesta metodológica y diseño de ingeniería de software</w:t>
            </w:r>
          </w:p>
        </w:tc>
        <w:tc>
          <w:tcPr>
            <w:tcW w:type="dxa" w:w="1474"/>
            <w:shd w:fill="FFF7E6"/>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4</w:t>
            </w:r>
          </w:p>
        </w:tc>
      </w:tr>
      <w:tr>
        <w:tc>
          <w:tcPr>
            <w:tcW w:type="dxa" w:w="7597"/>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7. Entregables finales y estrategia MVP</w:t>
            </w:r>
          </w:p>
        </w:tc>
        <w:tc>
          <w:tcPr>
            <w:tcW w:type="dxa" w:w="1474"/>
            <w:shd w:fill="FFFDF8"/>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5</w:t>
            </w:r>
          </w:p>
        </w:tc>
      </w:tr>
      <w:tr>
        <w:tc>
          <w:tcPr>
            <w:tcW w:type="dxa" w:w="7597"/>
            <w:shd w:fill="FFF7E6"/>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8. Estado de avance</w:t>
            </w:r>
          </w:p>
        </w:tc>
        <w:tc>
          <w:tcPr>
            <w:tcW w:type="dxa" w:w="1474"/>
            <w:shd w:fill="FFF7E6"/>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5</w:t>
            </w:r>
          </w:p>
        </w:tc>
      </w:tr>
      <w:tr>
        <w:tc>
          <w:tcPr>
            <w:tcW w:type="dxa" w:w="7597"/>
            <w:shd w:fill="FFFDF8"/>
            <w:tcMar>
              <w:top w:w="80" w:type="dxa"/>
              <w:start w:w="120" w:type="dxa"/>
              <w:bottom w:w="80" w:type="dxa"/>
              <w:end w:w="120" w:type="dxa"/>
            </w:tcMar>
            <w:vAlign w:val="center"/>
          </w:tcPr>
          <w:p>
            <w:pPr>
              <w:spacing w:after="0" w:before="0"/>
              <w:jc w:val="left"/>
            </w:pPr>
            <w:r/>
            <w:r>
              <w:rPr>
                <w:rFonts w:ascii="Times New Roman" w:hAnsi="Times New Roman" w:eastAsia="Times New Roman"/>
                <w:b w:val="0"/>
                <w:color w:val="2E2E2E"/>
                <w:sz w:val="21"/>
              </w:rPr>
              <w:t>9. Bibliografía</w:t>
            </w:r>
          </w:p>
        </w:tc>
        <w:tc>
          <w:tcPr>
            <w:tcW w:type="dxa" w:w="1474"/>
            <w:shd w:fill="FFFDF8"/>
            <w:tcMar>
              <w:top w:w="80" w:type="dxa"/>
              <w:start w:w="120" w:type="dxa"/>
              <w:bottom w:w="80" w:type="dxa"/>
              <w:end w:w="120" w:type="dxa"/>
            </w:tcMar>
            <w:vAlign w:val="center"/>
          </w:tcPr>
          <w:p>
            <w:pPr>
              <w:spacing w:after="0" w:before="0"/>
              <w:jc w:val="center"/>
            </w:pPr>
            <w:r/>
            <w:r>
              <w:rPr>
                <w:rFonts w:ascii="Times New Roman" w:hAnsi="Times New Roman" w:eastAsia="Times New Roman"/>
                <w:b w:val="0"/>
                <w:color w:val="2E2E2E"/>
                <w:sz w:val="21"/>
              </w:rPr>
              <w:t>5</w:t>
            </w:r>
          </w:p>
        </w:tc>
      </w:tr>
    </w:tbl>
    <w:p>
      <w:pPr>
        <w:pStyle w:val="Heading1"/>
        <w:spacing w:before="240" w:after="120" w:line="264" w:lineRule="auto"/>
      </w:pPr>
      <w:r>
        <w:rPr>
          <w:rFonts w:ascii="Cambria" w:hAnsi="Cambria" w:eastAsia="Cambria"/>
          <w:b/>
          <w:color w:val="9F2241"/>
          <w:sz w:val="30"/>
        </w:rPr>
        <w:t>1. Introducción y contexto</w:t>
      </w:r>
    </w:p>
    <w:p>
      <w:pPr>
        <w:spacing w:before="0" w:after="120" w:line="276" w:lineRule="auto"/>
        <w:ind w:firstLine="425"/>
      </w:pPr>
      <w:r>
        <w:rPr>
          <w:rFonts w:ascii="Times New Roman" w:hAnsi="Times New Roman" w:eastAsia="Times New Roman"/>
          <w:color w:val="2E2E2E"/>
          <w:sz w:val="22"/>
        </w:rPr>
        <w:t>El proyecto "Ganado Saludable" propone una infraestructura de auditoría sistémica de externalidades bovinas en México, articulada bajo el enfoque One Health, con el propósito de integrar información de sanidad animal, salud pública y finanzas para anticipar riesgos epidemiológicos de alto impacto.</w:t>
      </w:r>
    </w:p>
    <w:p>
      <w:pPr>
        <w:spacing w:before="0" w:after="120" w:line="276" w:lineRule="auto"/>
        <w:ind w:firstLine="425"/>
      </w:pPr>
      <w:r>
        <w:rPr>
          <w:rFonts w:ascii="Times New Roman" w:hAnsi="Times New Roman" w:eastAsia="Times New Roman"/>
          <w:color w:val="2E2E2E"/>
          <w:sz w:val="22"/>
        </w:rPr>
        <w:t>En esta primera fase se consolidó el planteamiento estratégico y la hipótesis de trabajo: convertir la vigilancia sanitaria en un flujo de datos útil para la toma de decisiones, a partir de una arquitectura que combine extracción de fuentes heterogéneas, almacenamiento documental y modelado analítico de riesgo.</w:t>
      </w:r>
    </w:p>
    <w:p>
      <w:pPr>
        <w:pStyle w:val="ListBullet"/>
        <w:spacing w:before="0" w:after="60" w:line="264" w:lineRule="auto"/>
      </w:pPr>
      <w:r>
        <w:rPr>
          <w:rFonts w:ascii="Times New Roman" w:hAnsi="Times New Roman" w:eastAsia="Times New Roman"/>
          <w:color w:val="2E2E2E"/>
          <w:sz w:val="22"/>
        </w:rPr>
        <w:t>La enfermedad foco del análisis es la Fiebre Aftosa, por su capacidad de generar interrupciones sanitarias y comerciales de gran escala.</w:t>
      </w:r>
    </w:p>
    <w:p>
      <w:pPr>
        <w:pStyle w:val="ListBullet"/>
        <w:spacing w:before="0" w:after="60" w:line="264" w:lineRule="auto"/>
      </w:pPr>
      <w:r>
        <w:rPr>
          <w:rFonts w:ascii="Times New Roman" w:hAnsi="Times New Roman" w:eastAsia="Times New Roman"/>
          <w:color w:val="2E2E2E"/>
          <w:sz w:val="22"/>
        </w:rPr>
        <w:t>La propuesta integra aprendizaje automático, modelado matemático, gestión de datos y una lectura financiera del riesgo para sustentar la prevención.</w:t>
      </w:r>
    </w:p>
    <w:p>
      <w:pPr>
        <w:pStyle w:val="ListBullet"/>
        <w:spacing w:before="0" w:after="60" w:line="264" w:lineRule="auto"/>
      </w:pPr>
      <w:r>
        <w:rPr>
          <w:rFonts w:ascii="Times New Roman" w:hAnsi="Times New Roman" w:eastAsia="Times New Roman"/>
          <w:color w:val="2E2E2E"/>
          <w:sz w:val="22"/>
        </w:rPr>
        <w:t>El avance actual se concentra en la justificación académica, la definición metodológica y el diseño de la capa ELT.</w:t>
      </w:r>
    </w:p>
    <w:p>
      <w:pPr>
        <w:pStyle w:val="Heading1"/>
        <w:spacing w:before="240" w:after="120" w:line="264" w:lineRule="auto"/>
      </w:pPr>
      <w:r>
        <w:rPr>
          <w:rFonts w:ascii="Cambria" w:hAnsi="Cambria" w:eastAsia="Cambria"/>
          <w:b/>
          <w:color w:val="9F2241"/>
          <w:sz w:val="30"/>
        </w:rPr>
        <w:t>2. Planteamiento del problema</w:t>
      </w:r>
    </w:p>
    <w:p>
      <w:pPr>
        <w:spacing w:before="0" w:after="120" w:line="276" w:lineRule="auto"/>
        <w:ind w:firstLine="425"/>
      </w:pPr>
      <w:r>
        <w:rPr>
          <w:rFonts w:ascii="Times New Roman" w:hAnsi="Times New Roman" w:eastAsia="Times New Roman"/>
          <w:color w:val="2E2E2E"/>
          <w:sz w:val="22"/>
        </w:rPr>
        <w:t>México cuenta con una biomasa bovina relevante y, ante un escenario de reintroducción de Fiebre Aftosa, el impacto no se limitaría al ámbito sanitario: también podría afectar la cadena de exportación, la inocuidad alimentaria y el equilibrio económico de los sectores productivos asociados.</w:t>
      </w:r>
    </w:p>
    <w:p>
      <w:pPr>
        <w:spacing w:before="0" w:after="120" w:line="276" w:lineRule="auto"/>
        <w:ind w:firstLine="425"/>
      </w:pPr>
      <w:r>
        <w:rPr>
          <w:rFonts w:ascii="Times New Roman" w:hAnsi="Times New Roman" w:eastAsia="Times New Roman"/>
          <w:color w:val="2E2E2E"/>
          <w:sz w:val="22"/>
        </w:rPr>
        <w:t>Por ello, el problema se formula como la necesidad de detectar señales tempranas y construir mecanismos de respuesta antes de que la propagación se traduzca en un bloqueo comercial o en una crisis epidemiológica de mayor magnitud.</w:t>
      </w:r>
    </w:p>
    <w:p>
      <w:pPr>
        <w:pStyle w:val="Heading2"/>
        <w:spacing w:before="160" w:after="80" w:line="252" w:lineRule="auto"/>
      </w:pPr>
      <w:r>
        <w:rPr>
          <w:rFonts w:ascii="Cambria" w:hAnsi="Cambria" w:eastAsia="Cambria"/>
          <w:b/>
          <w:color w:val="2E2E2E"/>
          <w:sz w:val="25"/>
        </w:rPr>
        <w:t>Incidentes críticos identificados</w:t>
      </w:r>
    </w:p>
    <w:p>
      <w:pPr>
        <w:pStyle w:val="ListBullet"/>
        <w:spacing w:before="0" w:after="60" w:line="264" w:lineRule="auto"/>
      </w:pPr>
      <w:r>
        <w:rPr>
          <w:rFonts w:ascii="Times New Roman" w:hAnsi="Times New Roman" w:eastAsia="Times New Roman"/>
          <w:color w:val="2E2E2E"/>
          <w:sz w:val="22"/>
        </w:rPr>
        <w:t>Ciberseguridad: posible manipulación o interceptación de datos IoT que oculte brotes o distorsione indicadores sanitarios.</w:t>
      </w:r>
    </w:p>
    <w:p>
      <w:pPr>
        <w:pStyle w:val="ListBullet"/>
        <w:spacing w:before="0" w:after="60" w:line="264" w:lineRule="auto"/>
      </w:pPr>
      <w:r>
        <w:rPr>
          <w:rFonts w:ascii="Times New Roman" w:hAnsi="Times New Roman" w:eastAsia="Times New Roman"/>
          <w:color w:val="2E2E2E"/>
          <w:sz w:val="22"/>
        </w:rPr>
        <w:t>Incertidumbre epidemiológica: ausencia de un mecanismo predictivo robusto para estimar la velocidad de contagio y la expansión territorial.</w:t>
      </w:r>
    </w:p>
    <w:p>
      <w:pPr>
        <w:pStyle w:val="ListBullet"/>
        <w:spacing w:before="0" w:after="60" w:line="264" w:lineRule="auto"/>
      </w:pPr>
      <w:r>
        <w:rPr>
          <w:rFonts w:ascii="Times New Roman" w:hAnsi="Times New Roman" w:eastAsia="Times New Roman"/>
          <w:color w:val="2E2E2E"/>
          <w:sz w:val="22"/>
        </w:rPr>
        <w:t>Riesgo financiero: tendencia a subestimar el costo de la prevención frente al costo de reacción y contención.</w:t>
      </w:r>
    </w:p>
    <w:p>
      <w:pPr>
        <w:pStyle w:val="Heading1"/>
        <w:spacing w:before="240" w:after="120" w:line="264" w:lineRule="auto"/>
      </w:pPr>
      <w:r>
        <w:rPr>
          <w:rFonts w:ascii="Cambria" w:hAnsi="Cambria" w:eastAsia="Cambria"/>
          <w:b/>
          <w:color w:val="9F2241"/>
          <w:sz w:val="30"/>
        </w:rPr>
        <w:t>3. Objetivos</w:t>
      </w:r>
    </w:p>
    <w:p>
      <w:pPr>
        <w:pStyle w:val="Heading2"/>
        <w:spacing w:before="160" w:after="80" w:line="252" w:lineRule="auto"/>
      </w:pPr>
      <w:r>
        <w:rPr>
          <w:rFonts w:ascii="Cambria" w:hAnsi="Cambria" w:eastAsia="Cambria"/>
          <w:b/>
          <w:color w:val="2E2E2E"/>
          <w:sz w:val="25"/>
        </w:rPr>
        <w:t>Objetivo general</w:t>
      </w:r>
    </w:p>
    <w:p>
      <w:pPr>
        <w:spacing w:before="0" w:after="120" w:line="276" w:lineRule="auto"/>
        <w:ind w:firstLine="425"/>
      </w:pPr>
      <w:r>
        <w:rPr>
          <w:rFonts w:ascii="Times New Roman" w:hAnsi="Times New Roman" w:eastAsia="Times New Roman"/>
          <w:color w:val="2E2E2E"/>
          <w:sz w:val="22"/>
        </w:rPr>
        <w:t>Diseñar e implementar un sistema integral de monitoreo y alerta temprana que utilice ciencia de datos, inteligencia artificial y modelado matemático para anticipar el impacto potencial de la Fiebre Aftosa en México, usando la Tuberculosis Bovina como métrica de calibración.</w:t>
      </w:r>
    </w:p>
    <w:p>
      <w:pPr>
        <w:pStyle w:val="Heading2"/>
        <w:spacing w:before="160" w:after="80" w:line="252" w:lineRule="auto"/>
      </w:pPr>
      <w:r>
        <w:rPr>
          <w:rFonts w:ascii="Cambria" w:hAnsi="Cambria" w:eastAsia="Cambria"/>
          <w:b/>
          <w:color w:val="2E2E2E"/>
          <w:sz w:val="25"/>
        </w:rPr>
        <w:t>Objetivos específicos</w:t>
      </w:r>
    </w:p>
    <w:p>
      <w:pPr>
        <w:pStyle w:val="ListNumber"/>
        <w:spacing w:before="0" w:after="60" w:line="264" w:lineRule="auto"/>
      </w:pPr>
      <w:r>
        <w:rPr>
          <w:rFonts w:ascii="Times New Roman" w:hAnsi="Times New Roman" w:eastAsia="Times New Roman"/>
          <w:color w:val="2E2E2E"/>
          <w:sz w:val="22"/>
        </w:rPr>
        <w:t>Inteligencia Artificial: entrenar un modelo de clasificación para estimar la probabilidad de brotes y priorizar variables predictoras no convencionales.</w:t>
      </w:r>
    </w:p>
    <w:p>
      <w:pPr>
        <w:pStyle w:val="ListNumber"/>
        <w:spacing w:before="0" w:after="60" w:line="264" w:lineRule="auto"/>
      </w:pPr>
      <w:r>
        <w:rPr>
          <w:rFonts w:ascii="Times New Roman" w:hAnsi="Times New Roman" w:eastAsia="Times New Roman"/>
          <w:color w:val="2E2E2E"/>
          <w:sz w:val="22"/>
        </w:rPr>
        <w:t>Estadística multivariada: aplicar PCA, Curvas de Andrews y Caras de Chernoff para sintetizar perfiles de riesgo por entidad federativa.</w:t>
      </w:r>
    </w:p>
    <w:p>
      <w:pPr>
        <w:pStyle w:val="ListNumber"/>
        <w:spacing w:before="0" w:after="60" w:line="264" w:lineRule="auto"/>
      </w:pPr>
      <w:r>
        <w:rPr>
          <w:rFonts w:ascii="Times New Roman" w:hAnsi="Times New Roman" w:eastAsia="Times New Roman"/>
          <w:color w:val="2E2E2E"/>
          <w:sz w:val="22"/>
        </w:rPr>
        <w:t>Ecuaciones diferenciales: traducir escenarios biológicos a sistemas dinámicos tipo SIR y simular escenarios de propagación.</w:t>
      </w:r>
    </w:p>
    <w:p>
      <w:pPr>
        <w:pStyle w:val="ListNumber"/>
        <w:spacing w:before="0" w:after="60" w:line="264" w:lineRule="auto"/>
      </w:pPr>
      <w:r>
        <w:rPr>
          <w:rFonts w:ascii="Times New Roman" w:hAnsi="Times New Roman" w:eastAsia="Times New Roman"/>
          <w:color w:val="2E2E2E"/>
          <w:sz w:val="22"/>
        </w:rPr>
        <w:t>Bases de datos NoSQL: migrar y organizar fuentes heterogéneas en un repositorio documental distribuido con MongoDB.</w:t>
      </w:r>
    </w:p>
    <w:p>
      <w:pPr>
        <w:pStyle w:val="ListNumber"/>
        <w:spacing w:before="0" w:after="60" w:line="264" w:lineRule="auto"/>
      </w:pPr>
      <w:r>
        <w:rPr>
          <w:rFonts w:ascii="Times New Roman" w:hAnsi="Times New Roman" w:eastAsia="Times New Roman"/>
          <w:color w:val="2E2E2E"/>
          <w:sz w:val="22"/>
        </w:rPr>
        <w:t>Criptografía: reforzar la trazabilidad con ofuscación de identificadores y firma asimétrica para los flujos de datos.</w:t>
      </w:r>
    </w:p>
    <w:p>
      <w:pPr>
        <w:pStyle w:val="ListNumber"/>
        <w:spacing w:before="0" w:after="60" w:line="264" w:lineRule="auto"/>
      </w:pPr>
      <w:r>
        <w:rPr>
          <w:rFonts w:ascii="Times New Roman" w:hAnsi="Times New Roman" w:eastAsia="Times New Roman"/>
          <w:color w:val="2E2E2E"/>
          <w:sz w:val="22"/>
        </w:rPr>
        <w:t>Finanzas corporativas: justificar el ecosistema con indicadores como TIR y VPN frente al costo potencial del brote.</w:t>
      </w:r>
    </w:p>
    <w:p>
      <w:pPr>
        <w:pStyle w:val="ListNumber"/>
        <w:spacing w:before="0" w:after="60" w:line="264" w:lineRule="auto"/>
      </w:pPr>
      <w:r>
        <w:rPr>
          <w:rFonts w:ascii="Times New Roman" w:hAnsi="Times New Roman" w:eastAsia="Times New Roman"/>
          <w:color w:val="2E2E2E"/>
          <w:sz w:val="22"/>
        </w:rPr>
        <w:t>Innovación social: enfocar los resultados hacia intervenciones útiles para poblaciones vulnerables y circuitos de consumo con mayor exposición.</w:t>
      </w:r>
    </w:p>
    <w:p>
      <w:pPr>
        <w:pStyle w:val="Heading1"/>
        <w:spacing w:before="240" w:after="120" w:line="264" w:lineRule="auto"/>
      </w:pPr>
      <w:r>
        <w:rPr>
          <w:rFonts w:ascii="Cambria" w:hAnsi="Cambria" w:eastAsia="Cambria"/>
          <w:b/>
          <w:color w:val="9F2241"/>
          <w:sz w:val="30"/>
        </w:rPr>
        <w:t>4. Marco teórico y avance de investigación sustancial</w:t>
      </w:r>
    </w:p>
    <w:p>
      <w:pPr>
        <w:pStyle w:val="Heading2"/>
        <w:spacing w:before="160" w:after="80" w:line="252" w:lineRule="auto"/>
      </w:pPr>
      <w:r>
        <w:rPr>
          <w:rFonts w:ascii="Cambria" w:hAnsi="Cambria" w:eastAsia="Cambria"/>
          <w:b/>
          <w:color w:val="2E2E2E"/>
          <w:sz w:val="25"/>
        </w:rPr>
        <w:t>4.1 Calibración epidemiológica</w:t>
      </w:r>
    </w:p>
    <w:p>
      <w:pPr>
        <w:spacing w:before="0" w:after="120" w:line="276" w:lineRule="auto"/>
        <w:ind w:firstLine="425"/>
      </w:pPr>
      <w:r>
        <w:rPr>
          <w:rFonts w:ascii="Times New Roman" w:hAnsi="Times New Roman" w:eastAsia="Times New Roman"/>
          <w:color w:val="2E2E2E"/>
          <w:sz w:val="22"/>
        </w:rPr>
        <w:t>Como México mantiene el estatus de libre de Fiebre Aftosa, la investigación adopta la Tuberculosis Bovina como proxy epidemiológico para calibrar el sistema. Esta decisión permite trabajar con un fenómeno real, con presencia de datos y con una dinámica que facilita el ajuste inicial de parámetros.</w:t>
      </w:r>
    </w:p>
    <w:p>
      <w:pPr>
        <w:pStyle w:val="ListBullet"/>
        <w:spacing w:before="0" w:after="60" w:line="264" w:lineRule="auto"/>
      </w:pPr>
      <w:r>
        <w:rPr>
          <w:rFonts w:ascii="Times New Roman" w:hAnsi="Times New Roman" w:eastAsia="Times New Roman"/>
          <w:color w:val="2E2E2E"/>
          <w:sz w:val="22"/>
        </w:rPr>
        <w:t>Primero se calibrará la dinámica con tuberculosis bovina y registros de vigilancia sanitaria disponibles.</w:t>
      </w:r>
    </w:p>
    <w:p>
      <w:pPr>
        <w:pStyle w:val="ListBullet"/>
        <w:spacing w:before="0" w:after="60" w:line="264" w:lineRule="auto"/>
      </w:pPr>
      <w:r>
        <w:rPr>
          <w:rFonts w:ascii="Times New Roman" w:hAnsi="Times New Roman" w:eastAsia="Times New Roman"/>
          <w:color w:val="2E2E2E"/>
          <w:sz w:val="22"/>
        </w:rPr>
        <w:t>Después se transferirá la estructura analítica a un escenario prospectivo de Fiebre Aftosa con parámetros más agresivos.</w:t>
      </w:r>
    </w:p>
    <w:p>
      <w:pPr>
        <w:pStyle w:val="ListBullet"/>
        <w:spacing w:before="0" w:after="60" w:line="264" w:lineRule="auto"/>
      </w:pPr>
      <w:r>
        <w:rPr>
          <w:rFonts w:ascii="Times New Roman" w:hAnsi="Times New Roman" w:eastAsia="Times New Roman"/>
          <w:color w:val="2E2E2E"/>
          <w:sz w:val="22"/>
        </w:rPr>
        <w:t>El objetivo es obtener una base cuantitativa para simulaciones de propagación y priorización de riesgo.</w:t>
      </w:r>
    </w:p>
    <w:p>
      <w:pPr>
        <w:pStyle w:val="Heading2"/>
        <w:spacing w:before="160" w:after="80" w:line="252" w:lineRule="auto"/>
      </w:pPr>
      <w:r>
        <w:rPr>
          <w:rFonts w:ascii="Cambria" w:hAnsi="Cambria" w:eastAsia="Cambria"/>
          <w:b/>
          <w:color w:val="2E2E2E"/>
          <w:sz w:val="25"/>
        </w:rPr>
        <w:t>4.2 Fuentes de datos auditadas para extracción masiva</w:t>
      </w:r>
    </w:p>
    <w:p>
      <w:pPr>
        <w:spacing w:before="0" w:after="120" w:line="276" w:lineRule="auto"/>
        <w:ind w:firstLine="425"/>
      </w:pPr>
      <w:r>
        <w:rPr>
          <w:rFonts w:ascii="Times New Roman" w:hAnsi="Times New Roman" w:eastAsia="Times New Roman"/>
          <w:color w:val="2E2E2E"/>
          <w:sz w:val="22"/>
        </w:rPr>
        <w:t>La arquitectura de datos se alimentará de fuentes públicas y heterogéneas, combinando PDFs, series tabulares, repositorios institucionales y sitios con interfaz dinámica. La intención es consolidar un data lake capaz de sostener el proceso analítico de extremo a extremo.</w:t>
      </w:r>
    </w:p>
    <w:p>
      <w:pPr>
        <w:pStyle w:val="ListBullet"/>
        <w:spacing w:before="0" w:after="60" w:line="264" w:lineRule="auto"/>
      </w:pPr>
      <w:r>
        <w:rPr>
          <w:rFonts w:ascii="Times New Roman" w:hAnsi="Times New Roman" w:eastAsia="Times New Roman"/>
          <w:color w:val="2E2E2E"/>
          <w:sz w:val="22"/>
        </w:rPr>
        <w:t>SENASICA: reportes, anuarios y documentos asociados a cuarentenas, hatos y vigilancia animal.</w:t>
      </w:r>
    </w:p>
    <w:p>
      <w:pPr>
        <w:pStyle w:val="ListBullet"/>
        <w:spacing w:before="0" w:after="60" w:line="264" w:lineRule="auto"/>
      </w:pPr>
      <w:r>
        <w:rPr>
          <w:rFonts w:ascii="Times New Roman" w:hAnsi="Times New Roman" w:eastAsia="Times New Roman"/>
          <w:color w:val="2E2E2E"/>
          <w:sz w:val="22"/>
        </w:rPr>
        <w:t>DGE / SINAIS: anuarios y tabulados de morbilidad humana que permiten correlaciones sanitarias.</w:t>
      </w:r>
    </w:p>
    <w:p>
      <w:pPr>
        <w:pStyle w:val="ListBullet"/>
        <w:spacing w:before="0" w:after="60" w:line="264" w:lineRule="auto"/>
      </w:pPr>
      <w:r>
        <w:rPr>
          <w:rFonts w:ascii="Times New Roman" w:hAnsi="Times New Roman" w:eastAsia="Times New Roman"/>
          <w:color w:val="2E2E2E"/>
          <w:sz w:val="22"/>
        </w:rPr>
        <w:t>OpenFMD y repositorios internacionales: series de evolución y antecedentes recientes de brotes.</w:t>
      </w:r>
    </w:p>
    <w:p>
      <w:pPr>
        <w:pStyle w:val="ListBullet"/>
        <w:spacing w:before="0" w:after="60" w:line="264" w:lineRule="auto"/>
      </w:pPr>
      <w:r>
        <w:rPr>
          <w:rFonts w:ascii="Times New Roman" w:hAnsi="Times New Roman" w:eastAsia="Times New Roman"/>
          <w:color w:val="2E2E2E"/>
          <w:sz w:val="22"/>
        </w:rPr>
        <w:t>PUCRA / UNAM: documentación técnica de apoyo sobre resistencia antimicrobiana y contexto biológico.</w:t>
      </w:r>
    </w:p>
    <w:p>
      <w:pPr>
        <w:pStyle w:val="ListBullet"/>
        <w:spacing w:before="0" w:after="60" w:line="264" w:lineRule="auto"/>
      </w:pPr>
      <w:r>
        <w:rPr>
          <w:rFonts w:ascii="Times New Roman" w:hAnsi="Times New Roman" w:eastAsia="Times New Roman"/>
          <w:color w:val="2E2E2E"/>
          <w:sz w:val="22"/>
        </w:rPr>
        <w:t>PNT / COFEPRIS: resoluciones, actas y registros útiles para construir indicadores de opacidad y seguimiento.</w:t>
      </w:r>
    </w:p>
    <w:p>
      <w:pPr>
        <w:pStyle w:val="Heading1"/>
        <w:spacing w:before="240" w:after="120" w:line="264" w:lineRule="auto"/>
      </w:pPr>
      <w:r>
        <w:rPr>
          <w:rFonts w:ascii="Cambria" w:hAnsi="Cambria" w:eastAsia="Cambria"/>
          <w:b/>
          <w:color w:val="9F2241"/>
          <w:sz w:val="30"/>
        </w:rPr>
        <w:t>5. Instrumentación analítica específica</w:t>
      </w:r>
    </w:p>
    <w:p>
      <w:pPr>
        <w:pStyle w:val="Heading2"/>
        <w:spacing w:before="160" w:after="80" w:line="252" w:lineRule="auto"/>
      </w:pPr>
      <w:r>
        <w:rPr>
          <w:rFonts w:ascii="Cambria" w:hAnsi="Cambria" w:eastAsia="Cambria"/>
          <w:b/>
          <w:color w:val="2E2E2E"/>
          <w:sz w:val="25"/>
        </w:rPr>
        <w:t>5.1 Análisis de Componentes Principales</w:t>
      </w:r>
    </w:p>
    <w:p>
      <w:pPr>
        <w:spacing w:before="0" w:after="120" w:line="276" w:lineRule="auto"/>
        <w:ind w:firstLine="425"/>
      </w:pPr>
      <w:r>
        <w:rPr>
          <w:rFonts w:ascii="Times New Roman" w:hAnsi="Times New Roman" w:eastAsia="Times New Roman"/>
          <w:color w:val="2E2E2E"/>
          <w:sz w:val="22"/>
        </w:rPr>
        <w:t>Las variables de riesgo generan una matriz de alta dimensionalidad. PCA permitirá condensar la información en componentes interpretables para revelar correlaciones latentes entre regiones con problemas similares de bioseguridad.</w:t>
      </w:r>
    </w:p>
    <w:p>
      <w:pPr>
        <w:pStyle w:val="ListBullet"/>
        <w:spacing w:before="0" w:after="60" w:line="264" w:lineRule="auto"/>
      </w:pPr>
      <w:r>
        <w:rPr>
          <w:rFonts w:ascii="Times New Roman" w:hAnsi="Times New Roman" w:eastAsia="Times New Roman"/>
          <w:color w:val="2E2E2E"/>
          <w:sz w:val="22"/>
        </w:rPr>
        <w:t>Meta operativa: reducir la complejidad de las variables a dos o tres ejes con capacidad explicativa alta.</w:t>
      </w:r>
    </w:p>
    <w:p>
      <w:pPr>
        <w:pStyle w:val="ListBullet"/>
        <w:spacing w:before="0" w:after="60" w:line="264" w:lineRule="auto"/>
      </w:pPr>
      <w:r>
        <w:rPr>
          <w:rFonts w:ascii="Times New Roman" w:hAnsi="Times New Roman" w:eastAsia="Times New Roman"/>
          <w:color w:val="2E2E2E"/>
          <w:sz w:val="22"/>
        </w:rPr>
        <w:t>Resultado esperado: identificación de clústeres y outliers epidemiológicos a escala estatal.</w:t>
      </w:r>
    </w:p>
    <w:p>
      <w:pPr>
        <w:pStyle w:val="Heading2"/>
        <w:spacing w:before="160" w:after="80" w:line="252" w:lineRule="auto"/>
      </w:pPr>
      <w:r>
        <w:rPr>
          <w:rFonts w:ascii="Cambria" w:hAnsi="Cambria" w:eastAsia="Cambria"/>
          <w:b/>
          <w:color w:val="2E2E2E"/>
          <w:sz w:val="25"/>
        </w:rPr>
        <w:t>5.2 Visualizaciones multivariadas</w:t>
      </w:r>
    </w:p>
    <w:p>
      <w:pPr>
        <w:spacing w:before="0" w:after="120" w:line="276" w:lineRule="auto"/>
        <w:ind w:firstLine="425"/>
      </w:pPr>
      <w:r>
        <w:rPr>
          <w:rFonts w:ascii="Times New Roman" w:hAnsi="Times New Roman" w:eastAsia="Times New Roman"/>
          <w:color w:val="2E2E2E"/>
          <w:sz w:val="22"/>
        </w:rPr>
        <w:t>Para facilitar la lectura de resultados por públicos no especializados, se emplearán Curvas de Andrews y Caras de Chernoff. Ambas permiten traducir información multivariable en formas visuales más rápidas de interpretar.</w:t>
      </w:r>
    </w:p>
    <w:p>
      <w:pPr>
        <w:pStyle w:val="ListBullet"/>
        <w:spacing w:before="0" w:after="60" w:line="264" w:lineRule="auto"/>
      </w:pPr>
      <w:r>
        <w:rPr>
          <w:rFonts w:ascii="Times New Roman" w:hAnsi="Times New Roman" w:eastAsia="Times New Roman"/>
          <w:color w:val="2E2E2E"/>
          <w:sz w:val="22"/>
        </w:rPr>
        <w:t>Curvas de Andrews: útiles para agrupar entidades con patrones de riesgo semejantes.</w:t>
      </w:r>
    </w:p>
    <w:p>
      <w:pPr>
        <w:pStyle w:val="ListBullet"/>
        <w:spacing w:before="0" w:after="60" w:line="264" w:lineRule="auto"/>
      </w:pPr>
      <w:r>
        <w:rPr>
          <w:rFonts w:ascii="Times New Roman" w:hAnsi="Times New Roman" w:eastAsia="Times New Roman"/>
          <w:color w:val="2E2E2E"/>
          <w:sz w:val="22"/>
        </w:rPr>
        <w:t>Caras de Chernoff: apropiadas para comunicar perfiles complejos de manera intuitiva en presentaciones y reportes.</w:t>
      </w:r>
    </w:p>
    <w:p>
      <w:pPr>
        <w:pStyle w:val="Heading2"/>
        <w:spacing w:before="160" w:after="80" w:line="252" w:lineRule="auto"/>
      </w:pPr>
      <w:r>
        <w:rPr>
          <w:rFonts w:ascii="Cambria" w:hAnsi="Cambria" w:eastAsia="Cambria"/>
          <w:b/>
          <w:color w:val="2E2E2E"/>
          <w:sz w:val="25"/>
        </w:rPr>
        <w:t>5.3 Modelo XGBoost</w:t>
      </w:r>
    </w:p>
    <w:p>
      <w:pPr>
        <w:spacing w:before="0" w:after="120" w:line="276" w:lineRule="auto"/>
        <w:ind w:firstLine="425"/>
      </w:pPr>
      <w:r>
        <w:rPr>
          <w:rFonts w:ascii="Times New Roman" w:hAnsi="Times New Roman" w:eastAsia="Times New Roman"/>
          <w:color w:val="2E2E2E"/>
          <w:sz w:val="22"/>
        </w:rPr>
        <w:t>Además del enfoque dinámico SIR, se contempla un clasificador XGBoost para estimar la probabilidad de eventos de riesgo. El modelo aprovechará variables sanitarias y un conjunto de proxies de contexto para mejorar la discriminación entre escenarios de baja y alta vulnerabilidad.</w:t>
      </w:r>
    </w:p>
    <w:p>
      <w:pPr>
        <w:pStyle w:val="ListBullet"/>
        <w:spacing w:before="0" w:after="60" w:line="264" w:lineRule="auto"/>
      </w:pPr>
      <w:r>
        <w:rPr>
          <w:rFonts w:ascii="Times New Roman" w:hAnsi="Times New Roman" w:eastAsia="Times New Roman"/>
          <w:color w:val="2E2E2E"/>
          <w:sz w:val="22"/>
        </w:rPr>
        <w:t>Ventaja principal: identificar la contribución relativa de cada variable en la predicción.</w:t>
      </w:r>
    </w:p>
    <w:p>
      <w:pPr>
        <w:pStyle w:val="ListBullet"/>
        <w:spacing w:before="0" w:after="60" w:line="264" w:lineRule="auto"/>
      </w:pPr>
      <w:r>
        <w:rPr>
          <w:rFonts w:ascii="Times New Roman" w:hAnsi="Times New Roman" w:eastAsia="Times New Roman"/>
          <w:color w:val="2E2E2E"/>
          <w:sz w:val="22"/>
        </w:rPr>
        <w:t>Salida esperada: un puntaje de riesgo y una lectura priorizada de factores explicativos.</w:t>
      </w:r>
    </w:p>
    <w:p>
      <w:pPr>
        <w:pStyle w:val="Heading1"/>
        <w:spacing w:before="240" w:after="120" w:line="264" w:lineRule="auto"/>
      </w:pPr>
      <w:r>
        <w:rPr>
          <w:rFonts w:ascii="Cambria" w:hAnsi="Cambria" w:eastAsia="Cambria"/>
          <w:b/>
          <w:color w:val="9F2241"/>
          <w:sz w:val="30"/>
        </w:rPr>
        <w:t>6. Propuesta metodológica y diseño de ingeniería de software</w:t>
      </w:r>
    </w:p>
    <w:p>
      <w:pPr>
        <w:spacing w:before="0" w:after="120" w:line="276" w:lineRule="auto"/>
        <w:ind w:firstLine="425"/>
      </w:pPr>
      <w:r>
        <w:rPr>
          <w:rFonts w:ascii="Times New Roman" w:hAnsi="Times New Roman" w:eastAsia="Times New Roman"/>
          <w:color w:val="2E2E2E"/>
          <w:sz w:val="22"/>
        </w:rPr>
        <w:t>La solución se organiza como una arquitectura ELT orientada al almacenamiento documental y al análisis posterior. En esta etapa el foco está en garantizar trazabilidad, escalabilidad y claridad de integración entre extracción, carga y transformación.</w:t>
      </w:r>
    </w:p>
    <w:p>
      <w:pPr>
        <w:pStyle w:val="ListNumber"/>
        <w:spacing w:before="0" w:after="60" w:line="264" w:lineRule="auto"/>
      </w:pPr>
      <w:r>
        <w:rPr>
          <w:rFonts w:ascii="Times New Roman" w:hAnsi="Times New Roman" w:eastAsia="Times New Roman"/>
          <w:color w:val="2E2E2E"/>
          <w:sz w:val="22"/>
        </w:rPr>
        <w:t>Extracción transaccional: automatización con Python y navegación headless para capturar datos de fuentes dinámicas o con interfaces poco amigables.</w:t>
      </w:r>
    </w:p>
    <w:p>
      <w:pPr>
        <w:pStyle w:val="ListNumber"/>
        <w:spacing w:before="0" w:after="60" w:line="264" w:lineRule="auto"/>
      </w:pPr>
      <w:r>
        <w:rPr>
          <w:rFonts w:ascii="Times New Roman" w:hAnsi="Times New Roman" w:eastAsia="Times New Roman"/>
          <w:color w:val="2E2E2E"/>
          <w:sz w:val="22"/>
        </w:rPr>
        <w:t>Capa Data Lake / oro NoSQL: persistencia de PDFs, datos estructurados y metadatos en MongoDB como repositorio central de trabajo.</w:t>
      </w:r>
    </w:p>
    <w:p>
      <w:pPr>
        <w:pStyle w:val="ListNumber"/>
        <w:spacing w:before="0" w:after="60" w:line="264" w:lineRule="auto"/>
      </w:pPr>
      <w:r>
        <w:rPr>
          <w:rFonts w:ascii="Times New Roman" w:hAnsi="Times New Roman" w:eastAsia="Times New Roman"/>
          <w:color w:val="2E2E2E"/>
          <w:sz w:val="22"/>
        </w:rPr>
        <w:t>Analítica e ingeniería matemática: empleo de SciPy y rutinas de simulación para resolver escenarios SIR y estimaciones asociadas.</w:t>
      </w:r>
    </w:p>
    <w:p>
      <w:pPr>
        <w:pStyle w:val="ListNumber"/>
        <w:spacing w:before="0" w:after="60" w:line="264" w:lineRule="auto"/>
      </w:pPr>
      <w:r>
        <w:rPr>
          <w:rFonts w:ascii="Times New Roman" w:hAnsi="Times New Roman" w:eastAsia="Times New Roman"/>
          <w:color w:val="2E2E2E"/>
          <w:sz w:val="22"/>
        </w:rPr>
        <w:t>Visor diagnóstico automatizado: generación de gráficas y mapas para exponer hallazgos de forma ejecutiva en el coloquio.</w:t>
      </w:r>
    </w:p>
    <w:p>
      <w:pPr>
        <w:pStyle w:val="Heading1"/>
        <w:spacing w:before="240" w:after="120" w:line="264" w:lineRule="auto"/>
      </w:pPr>
      <w:r>
        <w:rPr>
          <w:rFonts w:ascii="Cambria" w:hAnsi="Cambria" w:eastAsia="Cambria"/>
          <w:b/>
          <w:color w:val="9F2241"/>
          <w:sz w:val="30"/>
        </w:rPr>
        <w:t>7. Entregables finales y estrategia MVP</w:t>
      </w:r>
    </w:p>
    <w:p>
      <w:pPr>
        <w:spacing w:before="0" w:after="120" w:line="276" w:lineRule="auto"/>
        <w:ind w:firstLine="425"/>
      </w:pPr>
      <w:r>
        <w:rPr>
          <w:rFonts w:ascii="Times New Roman" w:hAnsi="Times New Roman" w:eastAsia="Times New Roman"/>
          <w:color w:val="2E2E2E"/>
          <w:sz w:val="22"/>
        </w:rPr>
        <w:t>Para evitar el sobre-desarrollo, el proyecto se encamina como un Producto Mínimo Viable. La infraestructura analítica sirve como soporte, pero el cierre del proyecto se concentrará en dos entregables de alto valor académico.</w:t>
      </w:r>
    </w:p>
    <w:p>
      <w:pPr>
        <w:pStyle w:val="Heading2"/>
        <w:spacing w:before="160" w:after="80" w:line="252" w:lineRule="auto"/>
      </w:pPr>
      <w:r>
        <w:rPr>
          <w:rFonts w:ascii="Cambria" w:hAnsi="Cambria" w:eastAsia="Cambria"/>
          <w:b/>
          <w:color w:val="2E2E2E"/>
          <w:sz w:val="25"/>
        </w:rPr>
        <w:t>Entregable 1: artículo de divulgación científica</w:t>
      </w:r>
    </w:p>
    <w:p>
      <w:pPr>
        <w:pStyle w:val="ListBullet"/>
        <w:spacing w:before="0" w:after="60" w:line="264" w:lineRule="auto"/>
      </w:pPr>
      <w:r>
        <w:rPr>
          <w:rFonts w:ascii="Times New Roman" w:hAnsi="Times New Roman" w:eastAsia="Times New Roman"/>
          <w:color w:val="2E2E2E"/>
          <w:sz w:val="22"/>
        </w:rPr>
        <w:t>Extensión estimada: 15 a 25 páginas, con formato APA 7 y al menos cinco fuentes.</w:t>
      </w:r>
    </w:p>
    <w:p>
      <w:pPr>
        <w:pStyle w:val="ListBullet"/>
        <w:spacing w:before="0" w:after="60" w:line="264" w:lineRule="auto"/>
      </w:pPr>
      <w:r>
        <w:rPr>
          <w:rFonts w:ascii="Times New Roman" w:hAnsi="Times New Roman" w:eastAsia="Times New Roman"/>
          <w:color w:val="2E2E2E"/>
          <w:sz w:val="22"/>
        </w:rPr>
        <w:t>Contenido: síntesis de las materias integradas, el problema sanitario y la propuesta de innovación social.</w:t>
      </w:r>
    </w:p>
    <w:p>
      <w:pPr>
        <w:pStyle w:val="ListBullet"/>
        <w:spacing w:before="0" w:after="60" w:line="264" w:lineRule="auto"/>
      </w:pPr>
      <w:r>
        <w:rPr>
          <w:rFonts w:ascii="Times New Roman" w:hAnsi="Times New Roman" w:eastAsia="Times New Roman"/>
          <w:color w:val="2E2E2E"/>
          <w:sz w:val="22"/>
        </w:rPr>
        <w:t>Valor central: explicar por qué la prevención digital puede reducir impactos económicos y sanitarios.</w:t>
      </w:r>
    </w:p>
    <w:p>
      <w:pPr>
        <w:pStyle w:val="Heading2"/>
        <w:spacing w:before="160" w:after="80" w:line="252" w:lineRule="auto"/>
      </w:pPr>
      <w:r>
        <w:rPr>
          <w:rFonts w:ascii="Cambria" w:hAnsi="Cambria" w:eastAsia="Cambria"/>
          <w:b/>
          <w:color w:val="2E2E2E"/>
          <w:sz w:val="25"/>
        </w:rPr>
        <w:t>Entregable 2: exposición en coloquio</w:t>
      </w:r>
    </w:p>
    <w:p>
      <w:pPr>
        <w:pStyle w:val="ListBullet"/>
        <w:spacing w:before="0" w:after="60" w:line="264" w:lineRule="auto"/>
      </w:pPr>
      <w:r>
        <w:rPr>
          <w:rFonts w:ascii="Times New Roman" w:hAnsi="Times New Roman" w:eastAsia="Times New Roman"/>
          <w:color w:val="2E2E2E"/>
          <w:sz w:val="22"/>
        </w:rPr>
        <w:t>Formato visual de 15 a 20 diapositivas para presentar la propuesta ante jurado multidisciplinario.</w:t>
      </w:r>
    </w:p>
    <w:p>
      <w:pPr>
        <w:pStyle w:val="ListBullet"/>
        <w:spacing w:before="0" w:after="60" w:line="264" w:lineRule="auto"/>
      </w:pPr>
      <w:r>
        <w:rPr>
          <w:rFonts w:ascii="Times New Roman" w:hAnsi="Times New Roman" w:eastAsia="Times New Roman"/>
          <w:color w:val="2E2E2E"/>
          <w:sz w:val="22"/>
        </w:rPr>
        <w:t>Foco narrativo: contexto, modelo conceptual, fuentes, analítica, valor social y cierre con evidencia visual.</w:t>
      </w:r>
    </w:p>
    <w:p>
      <w:pPr>
        <w:pStyle w:val="ListBullet"/>
        <w:spacing w:before="0" w:after="60" w:line="264" w:lineRule="auto"/>
      </w:pPr>
      <w:r>
        <w:rPr>
          <w:rFonts w:ascii="Times New Roman" w:hAnsi="Times New Roman" w:eastAsia="Times New Roman"/>
          <w:color w:val="2E2E2E"/>
          <w:sz w:val="22"/>
        </w:rPr>
        <w:t>Soporte: gráficas comparativas, mapas de riesgo y una narrativa clara de avance.</w:t>
      </w:r>
    </w:p>
    <w:p>
      <w:pPr>
        <w:pStyle w:val="Heading1"/>
        <w:spacing w:before="240" w:after="120" w:line="264" w:lineRule="auto"/>
      </w:pPr>
      <w:r>
        <w:rPr>
          <w:rFonts w:ascii="Cambria" w:hAnsi="Cambria" w:eastAsia="Cambria"/>
          <w:b/>
          <w:color w:val="9F2241"/>
          <w:sz w:val="30"/>
        </w:rPr>
        <w:t>8. Estado de avance</w:t>
      </w:r>
    </w:p>
    <w:p>
      <w:pPr>
        <w:spacing w:before="0" w:after="120" w:line="276" w:lineRule="auto"/>
        <w:ind w:firstLine="425"/>
      </w:pPr>
      <w:r>
        <w:rPr>
          <w:rFonts w:ascii="Times New Roman" w:hAnsi="Times New Roman" w:eastAsia="Times New Roman"/>
          <w:color w:val="2E2E2E"/>
          <w:sz w:val="22"/>
        </w:rPr>
        <w:t>A la fecha, se considera completada la planeación estratégica, la justificación epidemiológica y académica, así como la definición general de la arquitectura de extracción de datos y del esquema analítico.</w:t>
      </w:r>
    </w:p>
    <w:p>
      <w:pPr>
        <w:pStyle w:val="ListBullet"/>
        <w:spacing w:before="0" w:after="60" w:line="264" w:lineRule="auto"/>
      </w:pPr>
      <w:r>
        <w:rPr>
          <w:rFonts w:ascii="Times New Roman" w:hAnsi="Times New Roman" w:eastAsia="Times New Roman"/>
          <w:color w:val="2E2E2E"/>
          <w:sz w:val="22"/>
        </w:rPr>
        <w:t>Planeación estratégica: 100%</w:t>
      </w:r>
    </w:p>
    <w:p>
      <w:pPr>
        <w:pStyle w:val="ListBullet"/>
        <w:spacing w:before="0" w:after="60" w:line="264" w:lineRule="auto"/>
      </w:pPr>
      <w:r>
        <w:rPr>
          <w:rFonts w:ascii="Times New Roman" w:hAnsi="Times New Roman" w:eastAsia="Times New Roman"/>
          <w:color w:val="2E2E2E"/>
          <w:sz w:val="22"/>
        </w:rPr>
        <w:t>Justificación epidemiológica y académica: 100%</w:t>
      </w:r>
    </w:p>
    <w:p>
      <w:pPr>
        <w:pStyle w:val="ListBullet"/>
        <w:spacing w:before="0" w:after="60" w:line="264" w:lineRule="auto"/>
      </w:pPr>
      <w:r>
        <w:rPr>
          <w:rFonts w:ascii="Times New Roman" w:hAnsi="Times New Roman" w:eastAsia="Times New Roman"/>
          <w:color w:val="2E2E2E"/>
          <w:sz w:val="22"/>
        </w:rPr>
        <w:t>Diseño preliminar de la arquitectura ELT: 100%</w:t>
      </w:r>
    </w:p>
    <w:p>
      <w:pPr>
        <w:pStyle w:val="ListBullet"/>
        <w:spacing w:before="0" w:after="60" w:line="264" w:lineRule="auto"/>
      </w:pPr>
      <w:r>
        <w:rPr>
          <w:rFonts w:ascii="Times New Roman" w:hAnsi="Times New Roman" w:eastAsia="Times New Roman"/>
          <w:color w:val="2E2E2E"/>
          <w:sz w:val="22"/>
        </w:rPr>
        <w:t>Implementación técnica del MVP: en preparación</w:t>
      </w:r>
    </w:p>
    <w:p>
      <w:pPr>
        <w:pStyle w:val="Heading1"/>
        <w:spacing w:before="240" w:after="120" w:line="264" w:lineRule="auto"/>
      </w:pPr>
      <w:r>
        <w:rPr>
          <w:rFonts w:ascii="Cambria" w:hAnsi="Cambria" w:eastAsia="Cambria"/>
          <w:b/>
          <w:color w:val="9F2241"/>
          <w:sz w:val="30"/>
        </w:rPr>
        <w:t>9. Bibliografía</w:t>
      </w:r>
    </w:p>
    <w:p>
      <w:pPr>
        <w:pStyle w:val="ListBullet"/>
        <w:spacing w:before="0" w:after="60" w:line="252" w:lineRule="auto"/>
        <w:ind w:left="283"/>
      </w:pPr>
      <w:r>
        <w:rPr>
          <w:rFonts w:ascii="Times New Roman" w:hAnsi="Times New Roman" w:eastAsia="Times New Roman"/>
          <w:color w:val="2E2E2E"/>
          <w:sz w:val="22"/>
        </w:rPr>
        <w:t>FAO. (2026). Update on Foot-and-Mouth Disease outbreaks in Europe and the Near East.</w:t>
      </w:r>
    </w:p>
    <w:p>
      <w:pPr>
        <w:pStyle w:val="ListBullet"/>
        <w:spacing w:before="0" w:after="60" w:line="252" w:lineRule="auto"/>
        <w:ind w:left="283"/>
      </w:pPr>
      <w:r>
        <w:rPr>
          <w:rFonts w:ascii="Times New Roman" w:hAnsi="Times New Roman" w:eastAsia="Times New Roman"/>
          <w:color w:val="2E2E2E"/>
          <w:sz w:val="22"/>
        </w:rPr>
        <w:t>WOAH. (2026). Emergence of FMD Serotype SAT1 in the Golan region: Regional implications.</w:t>
      </w:r>
    </w:p>
    <w:p>
      <w:pPr>
        <w:pStyle w:val="ListBullet"/>
        <w:spacing w:before="0" w:after="60" w:line="252" w:lineRule="auto"/>
        <w:ind w:left="283"/>
      </w:pPr>
      <w:r>
        <w:rPr>
          <w:rFonts w:ascii="Times New Roman" w:hAnsi="Times New Roman" w:eastAsia="Times New Roman"/>
          <w:color w:val="2E2E2E"/>
          <w:sz w:val="22"/>
        </w:rPr>
        <w:t>Brauer, F., &amp; Castillo-Chávez, C. (2012). Mathematical Models in Population Biology and Epidemiology. Springer.</w:t>
      </w:r>
    </w:p>
    <w:p>
      <w:pPr>
        <w:pStyle w:val="ListBullet"/>
        <w:spacing w:before="0" w:after="60" w:line="252" w:lineRule="auto"/>
        <w:ind w:left="283"/>
      </w:pPr>
      <w:r>
        <w:rPr>
          <w:rFonts w:ascii="Times New Roman" w:hAnsi="Times New Roman" w:eastAsia="Times New Roman"/>
          <w:color w:val="2E2E2E"/>
          <w:sz w:val="22"/>
        </w:rPr>
        <w:t>SENASICA. (2024). Boletín Trimestral de Cuarentenas de Tuberculosis Bovina.</w:t>
      </w:r>
    </w:p>
    <w:p>
      <w:pPr>
        <w:pStyle w:val="ListBullet"/>
        <w:spacing w:before="0" w:after="60" w:line="252" w:lineRule="auto"/>
        <w:ind w:left="283"/>
      </w:pPr>
      <w:r>
        <w:rPr>
          <w:rFonts w:ascii="Times New Roman" w:hAnsi="Times New Roman" w:eastAsia="Times New Roman"/>
          <w:color w:val="2E2E2E"/>
          <w:sz w:val="22"/>
        </w:rPr>
        <w:t>Russell, S., &amp; Norvig, P. (2021). Artificial Intelligence: A Modern Approach. Pearson.</w:t>
      </w:r>
    </w:p>
    <w:p>
      <w:pPr>
        <w:pStyle w:val="ListBullet"/>
        <w:spacing w:before="0" w:after="60" w:line="252" w:lineRule="auto"/>
        <w:ind w:left="283"/>
      </w:pPr>
      <w:r>
        <w:rPr>
          <w:rFonts w:ascii="Times New Roman" w:hAnsi="Times New Roman" w:eastAsia="Times New Roman"/>
          <w:color w:val="2E2E2E"/>
          <w:sz w:val="22"/>
        </w:rPr>
        <w:t>Universidad Nacional Rosario Castellanos. (2026). Sitio institucional. https://rcastellanos.cdmx.gob.mx/</w:t>
      </w:r>
    </w:p>
    <w:sectPr w:rsidR="00FC693F" w:rsidRPr="0006063C" w:rsidSect="00034616">
      <w:footerReference w:type="default" r:id="rId11"/>
      <w:pgSz w:w="12240" w:h="15840"/>
      <w:pgMar w:top="1417" w:right="1417" w:bottom="1134" w:left="141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sz w:val="20"/>
      </w:rPr>
      <w:t xml:space="preserve">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