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FE" w:rsidRPr="00A059AB" w:rsidRDefault="00A059AB" w:rsidP="00A059AB">
      <w:pPr>
        <w:pStyle w:val="Title"/>
      </w:pPr>
      <w:r w:rsidRPr="00A059AB">
        <w:t>Coastal Dynamics open codebook</w:t>
      </w:r>
    </w:p>
    <w:p w:rsidR="00A059AB" w:rsidRDefault="00A059AB" w:rsidP="00A059AB">
      <w:pPr>
        <w:pStyle w:val="Subtitle"/>
      </w:pPr>
      <w:r>
        <w:t>Notebook Chapter 9 –</w:t>
      </w:r>
      <w:r w:rsidR="003E1BDB">
        <w:t xml:space="preserve"> </w:t>
      </w:r>
      <w:r>
        <w:t>Escoffier Curve</w:t>
      </w:r>
    </w:p>
    <w:p w:rsidR="00A059AB" w:rsidRDefault="00A059AB" w:rsidP="00A059AB">
      <w:pPr>
        <w:pStyle w:val="Heading1"/>
        <w:numPr>
          <w:ilvl w:val="0"/>
          <w:numId w:val="0"/>
        </w:numPr>
      </w:pPr>
      <w:r>
        <w:t>Introduction</w:t>
      </w:r>
    </w:p>
    <w:p w:rsidR="00A059AB" w:rsidRDefault="00A059AB" w:rsidP="003F0218">
      <w:pPr>
        <w:jc w:val="both"/>
      </w:pPr>
      <w:r>
        <w:t>Chapter 9 of CDot focusses coastal inlets and tidal basins. The chapter covers general basin and inlet types</w:t>
      </w:r>
      <w:r w:rsidR="00DD3A83">
        <w:t xml:space="preserve"> (§9.2)</w:t>
      </w:r>
      <w:r>
        <w:t>, main morphology units</w:t>
      </w:r>
      <w:r w:rsidR="00DD3A83">
        <w:t xml:space="preserve"> (§9.3): </w:t>
      </w:r>
      <w:r>
        <w:t>ebb-tidal delta</w:t>
      </w:r>
      <w:r w:rsidR="00DD3A83">
        <w:t xml:space="preserve"> (§9.4)</w:t>
      </w:r>
      <w:r>
        <w:t>, entrance channel</w:t>
      </w:r>
      <w:r w:rsidR="00DD3A83">
        <w:t xml:space="preserve"> (§9.5)</w:t>
      </w:r>
      <w:r>
        <w:t xml:space="preserve"> and inner basin</w:t>
      </w:r>
      <w:r w:rsidR="00DD3A83">
        <w:t>(§9.6</w:t>
      </w:r>
      <w:r>
        <w:t>), discusses how these units can be described by empirical relations</w:t>
      </w:r>
      <w:r w:rsidR="00DD3A83">
        <w:t xml:space="preserve"> </w:t>
      </w:r>
      <w:r>
        <w:t xml:space="preserve">and </w:t>
      </w:r>
      <w:r w:rsidR="00DD3A83">
        <w:t>deals with the mechanisms for basin net sediment import and export (§9.7).</w:t>
      </w:r>
    </w:p>
    <w:p w:rsidR="00916552" w:rsidRDefault="00DD3A83" w:rsidP="003F0218">
      <w:pPr>
        <w:pBdr>
          <w:bottom w:val="single" w:sz="4" w:space="1" w:color="auto"/>
        </w:pBdr>
        <w:jc w:val="both"/>
      </w:pPr>
      <w:r>
        <w:t>This notebook acts as a</w:t>
      </w:r>
      <w:r w:rsidR="003E1BDB">
        <w:t>n interactive learning tool for the topic of §9.5 “Stability of the inlet cross-sectional area”, the Escoffier curve.</w:t>
      </w:r>
      <w:r w:rsidR="00916552">
        <w:t xml:space="preserve"> Below the concept of the notebook is discussed.</w:t>
      </w:r>
    </w:p>
    <w:p w:rsidR="008169AD" w:rsidRDefault="00BF1B28" w:rsidP="00916552">
      <w:pPr>
        <w:pStyle w:val="Heading2"/>
      </w:pPr>
      <w:r>
        <w:t>Creating an Escoffier curve</w:t>
      </w:r>
      <w:r w:rsidR="008169AD">
        <w:t xml:space="preserve"> </w:t>
      </w:r>
    </w:p>
    <w:p w:rsidR="003E1BDB" w:rsidRPr="008169AD" w:rsidRDefault="008169AD" w:rsidP="008169AD">
      <w:pPr>
        <w:rPr>
          <w:i/>
          <w:u w:val="single"/>
        </w:rPr>
      </w:pPr>
      <w:r w:rsidRPr="008169AD">
        <w:rPr>
          <w:i/>
          <w:u w:val="single"/>
        </w:rPr>
        <w:t>Read pages 438, 439 and first 3 lines of 440</w:t>
      </w:r>
    </w:p>
    <w:p w:rsidR="003F0218" w:rsidRDefault="003F0218" w:rsidP="003F0218">
      <w:pPr>
        <w:jc w:val="both"/>
        <w:rPr>
          <w:rFonts w:eastAsiaTheme="minorEastAsia"/>
        </w:rPr>
      </w:pPr>
      <w:r>
        <w:t xml:space="preserve">Escoffier’s curve is a so-called closure curve and describes the relationship between maximum channel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 the parameter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primarily, but not solely, a function of the channel cross-section.</w:t>
      </w:r>
      <w:r w:rsidR="006A0822">
        <w:rPr>
          <w:rFonts w:eastAsiaTheme="minorEastAsia"/>
        </w:rPr>
        <w:t xml:space="preserve"> </w:t>
      </w:r>
      <w:r w:rsidR="0068170A">
        <w:rPr>
          <w:rFonts w:eastAsiaTheme="minorEastAsia"/>
        </w:rPr>
        <w:t>If we consider a sinusoidal tidal velocity signal: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68170A" w:rsidTr="0068170A">
        <w:tc>
          <w:tcPr>
            <w:tcW w:w="988" w:type="dxa"/>
          </w:tcPr>
          <w:p w:rsidR="0068170A" w:rsidRDefault="0068170A" w:rsidP="003F0218">
            <w:pPr>
              <w:jc w:val="both"/>
              <w:rPr>
                <w:rFonts w:eastAsiaTheme="minorEastAsia"/>
              </w:rPr>
            </w:pPr>
          </w:p>
        </w:tc>
        <w:tc>
          <w:tcPr>
            <w:tcW w:w="6662" w:type="dxa"/>
          </w:tcPr>
          <w:p w:rsidR="0068170A" w:rsidRDefault="006371CF" w:rsidP="0068170A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πP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:rsidR="0068170A" w:rsidRDefault="0068170A" w:rsidP="006817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(9.5)</w:t>
            </w:r>
          </w:p>
        </w:tc>
      </w:tr>
    </w:tbl>
    <w:p w:rsidR="0068170A" w:rsidRDefault="0068170A" w:rsidP="003F021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the tidal signal amplitude,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the tidal prism,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the channel cross-section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the tidal period (see Intermezzo 9.4 of the book).</w:t>
      </w:r>
    </w:p>
    <w:p w:rsidR="009A34F4" w:rsidRDefault="00A34E00" w:rsidP="009A34F4">
      <w:pPr>
        <w:jc w:val="both"/>
        <w:rPr>
          <w:rFonts w:eastAsiaTheme="minorEastAsia"/>
        </w:rPr>
      </w:pPr>
      <w:r>
        <w:t>The process that leads to</w:t>
      </w:r>
      <w:r w:rsidR="00A5623C">
        <w:t xml:space="preserve"> the </w:t>
      </w:r>
      <w:r w:rsidR="006A0822">
        <w:t xml:space="preserve">Escoffier </w:t>
      </w:r>
      <w:r w:rsidR="00A5623C">
        <w:t xml:space="preserve">curve </w:t>
      </w:r>
      <w:r>
        <w:t xml:space="preserve">explained in </w:t>
      </w:r>
      <w:r w:rsidR="0068170A">
        <w:t>the book</w:t>
      </w:r>
      <w:r w:rsidR="00A5623C">
        <w:t>. In this notebook we provide a short visualisation</w:t>
      </w:r>
      <w:r w:rsidR="006A0822">
        <w:t>, see the</w:t>
      </w:r>
      <w:r w:rsidR="00BB7E65">
        <w:t xml:space="preserve"> interactive</w:t>
      </w:r>
      <w:r w:rsidR="006A0822">
        <w:t xml:space="preserve"> plot</w:t>
      </w:r>
      <w:r w:rsidR="00A73C29">
        <w:t xml:space="preserve"> </w:t>
      </w:r>
      <w:r w:rsidR="006A0822">
        <w:t>below.</w:t>
      </w:r>
      <w:r w:rsidR="009A34F4">
        <w:t xml:space="preserve"> We start with an imaginary channel cross-section that is very small, close to point A, such that the tidal difference in the estuary is smaller than the tidal range. Increasing the cross-section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A34F4">
        <w:rPr>
          <w:rFonts w:eastAsiaTheme="minorEastAsia"/>
        </w:rPr>
        <w:t>) results in an increase of the tidal prism (</w:t>
      </w:r>
      <m:oMath>
        <m:r>
          <w:rPr>
            <w:rFonts w:ascii="Cambria Math" w:eastAsiaTheme="minorEastAsia" w:hAnsi="Cambria Math"/>
          </w:rPr>
          <m:t>P</m:t>
        </m:r>
      </m:oMath>
      <w:r w:rsidR="009A34F4">
        <w:rPr>
          <w:rFonts w:eastAsiaTheme="minorEastAsia"/>
        </w:rPr>
        <w:t xml:space="preserve">) so large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A34F4">
        <w:rPr>
          <w:rFonts w:eastAsiaTheme="minorEastAsia"/>
        </w:rPr>
        <w:t xml:space="preserve"> increases too (recall eq. 9.5). At some point the tidal difference in the estuary is equal to the tidal range and we reach the peak of the closure curve. A larger cross-section now reduces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A34F4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P</m:t>
        </m:r>
      </m:oMath>
      <w:r w:rsidR="009A34F4">
        <w:rPr>
          <w:rFonts w:eastAsiaTheme="minorEastAsia"/>
        </w:rPr>
        <w:t xml:space="preserve"> remains constant (again, recall eq. 9.5).</w:t>
      </w:r>
    </w:p>
    <w:p w:rsidR="006A0822" w:rsidRDefault="00820C7F" w:rsidP="006A0822">
      <w:pPr>
        <w:keepNext/>
        <w:jc w:val="both"/>
      </w:pPr>
      <w:r>
        <w:object w:dxaOrig="10996" w:dyaOrig="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69.65pt" o:ole="">
            <v:imagedata r:id="rId8" o:title=""/>
          </v:shape>
          <o:OLEObject Type="Embed" ProgID="Visio.Drawing.15" ShapeID="_x0000_i1025" DrawAspect="Content" ObjectID="_1736253676" r:id="rId9"/>
        </w:object>
      </w:r>
    </w:p>
    <w:p w:rsidR="006A0822" w:rsidRPr="003F0218" w:rsidRDefault="006A0822" w:rsidP="006A0822">
      <w:pPr>
        <w:pStyle w:val="Caption"/>
        <w:jc w:val="both"/>
      </w:pPr>
      <w:bookmarkStart w:id="0" w:name="_Ref124430061"/>
      <w:r>
        <w:t xml:space="preserve">Figure </w:t>
      </w:r>
      <w:fldSimple w:instr=" SEQ Figure \* ARABIC ">
        <w:r w:rsidR="00790FFC">
          <w:rPr>
            <w:noProof/>
          </w:rPr>
          <w:t>1</w:t>
        </w:r>
      </w:fldSimple>
      <w:bookmarkEnd w:id="0"/>
      <w:r>
        <w:t xml:space="preserve"> </w:t>
      </w:r>
      <w:r w:rsidR="00A73C29">
        <w:t>–</w:t>
      </w:r>
      <w:r>
        <w:t xml:space="preserve"> </w:t>
      </w:r>
      <w:r w:rsidR="00A73C29">
        <w:t>Placeholder for interactive slider plot, see Appendix A</w:t>
      </w:r>
    </w:p>
    <w:p w:rsidR="009A34F4" w:rsidRDefault="009A34F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41C89" w:rsidRDefault="00141C89" w:rsidP="006A082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 next step is to determine an equilibrium channel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below which no erosion of the channel occurs. This velocity is only slightly dependent on the cross-section and can be approximated as just a function of sediment size. Larger sediment size leads to a larger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and vice versa.</w:t>
      </w:r>
    </w:p>
    <w:p w:rsidR="00E12D23" w:rsidRDefault="00E12D23" w:rsidP="006A08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closure curve and a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leads to the well-known Escoffier curve as depicted in</w:t>
      </w:r>
      <w:r w:rsidR="00BC27D1">
        <w:rPr>
          <w:rFonts w:eastAsiaTheme="minorEastAsia"/>
        </w:rPr>
        <w:t xml:space="preserve"> F</w:t>
      </w:r>
      <w:r>
        <w:rPr>
          <w:rFonts w:eastAsiaTheme="minorEastAsia"/>
        </w:rPr>
        <w:t>igure 9.22 in the book.</w:t>
      </w:r>
    </w:p>
    <w:p w:rsidR="00790FFC" w:rsidRDefault="00790FFC" w:rsidP="00790FFC">
      <w:pPr>
        <w:keepNext/>
        <w:jc w:val="both"/>
      </w:pPr>
      <w:r>
        <w:object w:dxaOrig="6780" w:dyaOrig="2146">
          <v:shape id="_x0000_i1026" type="#_x0000_t75" style="width:445.15pt;height:140.85pt" o:ole="">
            <v:imagedata r:id="rId10" o:title=""/>
          </v:shape>
          <o:OLEObject Type="Embed" ProgID="Visio.Drawing.15" ShapeID="_x0000_i1026" DrawAspect="Content" ObjectID="_1736253677" r:id="rId11"/>
        </w:object>
      </w:r>
    </w:p>
    <w:p w:rsidR="00E12D23" w:rsidRDefault="00790FFC" w:rsidP="00790FFC">
      <w:pPr>
        <w:pStyle w:val="Caption"/>
        <w:jc w:val="both"/>
      </w:pPr>
      <w:r>
        <w:t xml:space="preserve">Figure </w:t>
      </w:r>
      <w:r w:rsidR="006371CF">
        <w:fldChar w:fldCharType="begin"/>
      </w:r>
      <w:r w:rsidR="006371CF">
        <w:instrText xml:space="preserve"> SEQ Figure \* ARABIC </w:instrText>
      </w:r>
      <w:r w:rsidR="006371CF">
        <w:fldChar w:fldCharType="separate"/>
      </w:r>
      <w:r>
        <w:rPr>
          <w:noProof/>
        </w:rPr>
        <w:t>2</w:t>
      </w:r>
      <w:r w:rsidR="006371CF">
        <w:rPr>
          <w:noProof/>
        </w:rPr>
        <w:fldChar w:fldCharType="end"/>
      </w:r>
      <w:r>
        <w:t xml:space="preserve"> – Typical Escoffier curve</w:t>
      </w:r>
    </w:p>
    <w:p w:rsidR="001F051D" w:rsidRDefault="001F051D" w:rsidP="001F051D">
      <w:pPr>
        <w:pStyle w:val="Heading2"/>
      </w:pPr>
      <w:r>
        <w:t>Channel stability</w:t>
      </w:r>
    </w:p>
    <w:p w:rsidR="005147E8" w:rsidRPr="005147E8" w:rsidRDefault="005147E8" w:rsidP="001F051D">
      <w:r>
        <w:t>----Here we ask questions on what happens at the 5 red locations and see if some students can answer this based on the above explanation. Otherwise we can refer back to the lecture/book pg. 440</w:t>
      </w:r>
      <w:r w:rsidR="00E650A9">
        <w:t xml:space="preserve"> (although they probably already did either one)</w:t>
      </w:r>
      <w:r>
        <w:t>-----</w:t>
      </w:r>
    </w:p>
    <w:p w:rsidR="001F051D" w:rsidRDefault="005147E8" w:rsidP="001F051D">
      <w:r>
        <w:object w:dxaOrig="6780" w:dyaOrig="2146">
          <v:shape id="_x0000_i1027" type="#_x0000_t75" style="width:438.9pt;height:139pt" o:ole="">
            <v:imagedata r:id="rId12" o:title=""/>
          </v:shape>
          <o:OLEObject Type="Embed" ProgID="Visio.Drawing.15" ShapeID="_x0000_i1027" DrawAspect="Content" ObjectID="_1736253678" r:id="rId13"/>
        </w:object>
      </w:r>
    </w:p>
    <w:p w:rsidR="00F55F31" w:rsidRDefault="00EE6F11" w:rsidP="00EE6F11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Three </w:t>
      </w:r>
      <w:r w:rsidR="008169AD">
        <w:rPr>
          <w:rFonts w:eastAsiaTheme="minorEastAsia"/>
        </w:rPr>
        <w:t>“</w:t>
      </w:r>
      <w:r>
        <w:rPr>
          <w:rFonts w:eastAsiaTheme="minorEastAsia"/>
        </w:rPr>
        <w:t>types</w:t>
      </w:r>
      <w:r w:rsidR="008169AD">
        <w:rPr>
          <w:rFonts w:eastAsiaTheme="minorEastAsia"/>
        </w:rPr>
        <w:t>”</w:t>
      </w:r>
      <w:r>
        <w:rPr>
          <w:rFonts w:eastAsiaTheme="minorEastAsia"/>
        </w:rPr>
        <w:t xml:space="preserve"> of Escoffier curves</w:t>
      </w:r>
    </w:p>
    <w:p w:rsidR="009E0BA2" w:rsidRPr="009E0BA2" w:rsidRDefault="0058717E" w:rsidP="009E0BA2">
      <w:r>
        <w:t xml:space="preserve">-----Here we ask questions on what happens to the channel at location 1 and 2 (in red) for the two alternative types of Escoffier curves. We can also think of something similar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, perhaps ask if we can change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by dredging/filling/changing channel sediment.-----</w:t>
      </w:r>
    </w:p>
    <w:p w:rsidR="00F55F31" w:rsidRDefault="0058717E" w:rsidP="006A0822">
      <w:pPr>
        <w:jc w:val="both"/>
        <w:rPr>
          <w:rFonts w:eastAsiaTheme="minorEastAsia"/>
        </w:rPr>
      </w:pPr>
      <w:r>
        <w:object w:dxaOrig="6780" w:dyaOrig="5970">
          <v:shape id="_x0000_i1028" type="#_x0000_t75" style="width:443.9pt;height:390.7pt" o:ole="">
            <v:imagedata r:id="rId14" o:title=""/>
          </v:shape>
          <o:OLEObject Type="Embed" ProgID="Visio.Drawing.15" ShapeID="_x0000_i1028" DrawAspect="Content" ObjectID="_1736253679" r:id="rId15"/>
        </w:object>
      </w:r>
    </w:p>
    <w:p w:rsidR="00115E3C" w:rsidRDefault="00115E3C" w:rsidP="00115E3C">
      <w:pPr>
        <w:pStyle w:val="Heading2"/>
        <w:rPr>
          <w:rFonts w:eastAsiaTheme="minorEastAsia"/>
        </w:rPr>
      </w:pPr>
      <w:r>
        <w:rPr>
          <w:rFonts w:eastAsiaTheme="minorEastAsia"/>
        </w:rPr>
        <w:t>Questions</w:t>
      </w:r>
    </w:p>
    <w:p w:rsidR="005A523A" w:rsidRPr="005A523A" w:rsidRDefault="005A523A" w:rsidP="005A523A">
      <w:r>
        <w:t>-----Here we ask other questions related to the Escoffier curve. Some examples are given.-----</w:t>
      </w:r>
    </w:p>
    <w:p w:rsidR="00E8171A" w:rsidRDefault="00E8171A" w:rsidP="00E817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What would happen i</w:t>
      </w:r>
      <w:r w:rsidR="00E539A8">
        <w:rPr>
          <w:rFonts w:eastAsiaTheme="minorEastAsia"/>
        </w:rPr>
        <w:t>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becomes really large?</w:t>
      </w:r>
    </w:p>
    <w:p w:rsidR="00E8171A" w:rsidRDefault="00E8171A" w:rsidP="00E817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closure curve go to infinity? </w:t>
      </w:r>
    </w:p>
    <w:p w:rsidR="00DB3CFB" w:rsidRDefault="00DB3CFB" w:rsidP="00E817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What happens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becomes really large?</w:t>
      </w:r>
    </w:p>
    <w:p w:rsidR="003A013C" w:rsidRDefault="003A013C" w:rsidP="00E817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Is there a limit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?</w:t>
      </w:r>
    </w:p>
    <w:p w:rsidR="00E8171A" w:rsidRDefault="007C53E6" w:rsidP="00E817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How can you modify the Escoffier curv</w:t>
      </w:r>
      <w:bookmarkStart w:id="1" w:name="_GoBack"/>
      <w:bookmarkEnd w:id="1"/>
      <w:r>
        <w:rPr>
          <w:rFonts w:eastAsiaTheme="minorEastAsia"/>
        </w:rPr>
        <w:t>e through engineering?</w:t>
      </w:r>
    </w:p>
    <w:p w:rsidR="007C53E6" w:rsidRPr="00E8171A" w:rsidRDefault="007C53E6" w:rsidP="00E8171A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Can the clos</w:t>
      </w:r>
      <w:r w:rsidR="003F7EC4">
        <w:rPr>
          <w:rFonts w:eastAsiaTheme="minorEastAsia"/>
        </w:rPr>
        <w:t>ure curve vary in time? Explain your answer.</w:t>
      </w:r>
    </w:p>
    <w:p w:rsidR="00F55F31" w:rsidRDefault="00F55F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55F31" w:rsidRDefault="00F55F31" w:rsidP="00F55F31">
      <w:pPr>
        <w:pStyle w:val="Appendix"/>
        <w:numPr>
          <w:ilvl w:val="0"/>
          <w:numId w:val="0"/>
        </w:numPr>
      </w:pPr>
      <w:r>
        <w:lastRenderedPageBreak/>
        <w:t>Appendix A</w:t>
      </w:r>
    </w:p>
    <w:p w:rsidR="00FA02B5" w:rsidRDefault="00FA02B5" w:rsidP="00BF1B28">
      <w:pPr>
        <w:jc w:val="both"/>
      </w:pPr>
      <w:r>
        <w:t>The interactive plot in 4 steps as a proof of concept. Preferably this in programmed in Python with a slider widget, but might turn out difficult.</w:t>
      </w:r>
      <w:r w:rsidR="0004068B">
        <w:t xml:space="preserve"> Also, actual data for this would be useful.</w:t>
      </w:r>
    </w:p>
    <w:p w:rsidR="0078601B" w:rsidRDefault="0078601B" w:rsidP="00BF1B28">
      <w:pPr>
        <w:jc w:val="both"/>
        <w:rPr>
          <w:rFonts w:eastAsiaTheme="minorEastAsia"/>
        </w:rPr>
      </w:pPr>
      <w:r>
        <w:t xml:space="preserve">The black dashed line indicates the tidal range at sea, the red dashed line the tidal difference in the estuary, </w:t>
      </w:r>
      <m:oMath>
        <m:r>
          <w:rPr>
            <w:rFonts w:ascii="Cambria Math" w:eastAsiaTheme="minorEastAsia" w:hAnsi="Cambria Math"/>
          </w:rPr>
          <m:t>P</m:t>
        </m:r>
      </m:oMath>
      <w:r w:rsidR="009E1CD6">
        <w:rPr>
          <w:rFonts w:eastAsiaTheme="minorEastAsia"/>
        </w:rPr>
        <w:t xml:space="preserve"> the tidal prism</w:t>
      </w:r>
      <w:r w:rsidR="00FF639D">
        <w:rPr>
          <w:rFonts w:eastAsiaTheme="minorEastAsia"/>
        </w:rPr>
        <w:t>.</w:t>
      </w:r>
    </w:p>
    <w:p w:rsidR="00A34E00" w:rsidRDefault="00D615CE" w:rsidP="00D14B3D">
      <w:r>
        <w:object w:dxaOrig="11326" w:dyaOrig="16381">
          <v:shape id="_x0000_i1029" type="#_x0000_t75" style="width:415.7pt;height:600.4pt" o:ole="">
            <v:imagedata r:id="rId16" o:title=""/>
          </v:shape>
          <o:OLEObject Type="Embed" ProgID="Visio.Drawing.15" ShapeID="_x0000_i1029" DrawAspect="Content" ObjectID="_1736253680" r:id="rId17"/>
        </w:object>
      </w:r>
    </w:p>
    <w:p w:rsidR="00623CBC" w:rsidRDefault="00623CBC" w:rsidP="00D14B3D">
      <w:r>
        <w:lastRenderedPageBreak/>
        <w:t>Inspiration:</w:t>
      </w:r>
    </w:p>
    <w:p w:rsidR="00623CBC" w:rsidRPr="003E1BDB" w:rsidRDefault="00623CBC" w:rsidP="00D14B3D">
      <w:r>
        <w:rPr>
          <w:noProof/>
          <w:lang w:eastAsia="en-GB"/>
        </w:rPr>
        <w:drawing>
          <wp:inline distT="0" distB="0" distL="0" distR="0" wp14:anchorId="65D8CA55" wp14:editId="2A61C333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BC" w:rsidRPr="003E1BDB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CF" w:rsidRDefault="006371CF" w:rsidP="003E1BDB">
      <w:pPr>
        <w:spacing w:after="0" w:line="240" w:lineRule="auto"/>
      </w:pPr>
      <w:r>
        <w:separator/>
      </w:r>
    </w:p>
  </w:endnote>
  <w:endnote w:type="continuationSeparator" w:id="0">
    <w:p w:rsidR="006371CF" w:rsidRDefault="006371CF" w:rsidP="003E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6285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14B3D" w:rsidRDefault="00D14B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42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422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4B3D" w:rsidRDefault="00D1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CF" w:rsidRDefault="006371CF" w:rsidP="003E1BDB">
      <w:pPr>
        <w:spacing w:after="0" w:line="240" w:lineRule="auto"/>
      </w:pPr>
      <w:r>
        <w:separator/>
      </w:r>
    </w:p>
  </w:footnote>
  <w:footnote w:type="continuationSeparator" w:id="0">
    <w:p w:rsidR="006371CF" w:rsidRDefault="006371CF" w:rsidP="003E1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242B4"/>
    <w:multiLevelType w:val="multilevel"/>
    <w:tmpl w:val="4CD029B0"/>
    <w:lvl w:ilvl="0">
      <w:start w:val="1"/>
      <w:numFmt w:val="decimal"/>
      <w:pStyle w:val="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753456"/>
    <w:multiLevelType w:val="hybridMultilevel"/>
    <w:tmpl w:val="349459FE"/>
    <w:lvl w:ilvl="0" w:tplc="5A9221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B6A06"/>
    <w:multiLevelType w:val="multilevel"/>
    <w:tmpl w:val="22A8DD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78"/>
    <w:rsid w:val="0004068B"/>
    <w:rsid w:val="00075EA6"/>
    <w:rsid w:val="00115E3C"/>
    <w:rsid w:val="00141C89"/>
    <w:rsid w:val="001A05FA"/>
    <w:rsid w:val="001E439D"/>
    <w:rsid w:val="001F051D"/>
    <w:rsid w:val="002B7778"/>
    <w:rsid w:val="003A013C"/>
    <w:rsid w:val="003A0D85"/>
    <w:rsid w:val="003E1BDB"/>
    <w:rsid w:val="003F0218"/>
    <w:rsid w:val="003F7EC4"/>
    <w:rsid w:val="00482F2E"/>
    <w:rsid w:val="00484357"/>
    <w:rsid w:val="004F376E"/>
    <w:rsid w:val="005045F9"/>
    <w:rsid w:val="005147E8"/>
    <w:rsid w:val="00534220"/>
    <w:rsid w:val="0058717E"/>
    <w:rsid w:val="005A523A"/>
    <w:rsid w:val="005F4B6C"/>
    <w:rsid w:val="00623CBC"/>
    <w:rsid w:val="006371CF"/>
    <w:rsid w:val="0068170A"/>
    <w:rsid w:val="006A0822"/>
    <w:rsid w:val="006F4F96"/>
    <w:rsid w:val="0078601B"/>
    <w:rsid w:val="00790FFC"/>
    <w:rsid w:val="007C53E6"/>
    <w:rsid w:val="008169AD"/>
    <w:rsid w:val="00820C7F"/>
    <w:rsid w:val="00916552"/>
    <w:rsid w:val="009A34F4"/>
    <w:rsid w:val="009E0BA2"/>
    <w:rsid w:val="009E1CD6"/>
    <w:rsid w:val="00A059AB"/>
    <w:rsid w:val="00A34E00"/>
    <w:rsid w:val="00A43748"/>
    <w:rsid w:val="00A5623C"/>
    <w:rsid w:val="00A73C29"/>
    <w:rsid w:val="00AD5BEE"/>
    <w:rsid w:val="00B318A5"/>
    <w:rsid w:val="00BB7E65"/>
    <w:rsid w:val="00BC27D1"/>
    <w:rsid w:val="00BF1B28"/>
    <w:rsid w:val="00C01838"/>
    <w:rsid w:val="00CE4527"/>
    <w:rsid w:val="00CE5A99"/>
    <w:rsid w:val="00D14B3D"/>
    <w:rsid w:val="00D27F76"/>
    <w:rsid w:val="00D57E2E"/>
    <w:rsid w:val="00D615CE"/>
    <w:rsid w:val="00DB3CFB"/>
    <w:rsid w:val="00DD3A83"/>
    <w:rsid w:val="00E04DFA"/>
    <w:rsid w:val="00E12D23"/>
    <w:rsid w:val="00E16C4A"/>
    <w:rsid w:val="00E27D68"/>
    <w:rsid w:val="00E43BB2"/>
    <w:rsid w:val="00E539A8"/>
    <w:rsid w:val="00E650A9"/>
    <w:rsid w:val="00E8171A"/>
    <w:rsid w:val="00EE6F11"/>
    <w:rsid w:val="00F55F31"/>
    <w:rsid w:val="00F57CF1"/>
    <w:rsid w:val="00FA02B5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6F95F"/>
  <w15:chartTrackingRefBased/>
  <w15:docId w15:val="{44425C6C-3F01-4A0E-A786-2D28D88A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link w:val="AppendixChar"/>
    <w:qFormat/>
    <w:rsid w:val="001A05FA"/>
    <w:pPr>
      <w:numPr>
        <w:numId w:val="2"/>
      </w:numPr>
    </w:pPr>
  </w:style>
  <w:style w:type="character" w:customStyle="1" w:styleId="AppendixChar">
    <w:name w:val="Appendix Char"/>
    <w:basedOn w:val="Heading1Char"/>
    <w:link w:val="Appendix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9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59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05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DB"/>
  </w:style>
  <w:style w:type="paragraph" w:styleId="Footer">
    <w:name w:val="footer"/>
    <w:basedOn w:val="Normal"/>
    <w:link w:val="FooterChar"/>
    <w:uiPriority w:val="99"/>
    <w:unhideWhenUsed/>
    <w:rsid w:val="003E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DB"/>
  </w:style>
  <w:style w:type="character" w:styleId="PlaceholderText">
    <w:name w:val="Placeholder Text"/>
    <w:basedOn w:val="DefaultParagraphFont"/>
    <w:uiPriority w:val="99"/>
    <w:semiHidden/>
    <w:rsid w:val="003F02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34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8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4C"/>
    <w:rsid w:val="001A1618"/>
    <w:rsid w:val="00692530"/>
    <w:rsid w:val="00A16C21"/>
    <w:rsid w:val="00F6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5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A4BB-A52B-460C-AC9B-23642F56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van den Berg</dc:creator>
  <cp:keywords/>
  <dc:description/>
  <cp:lastModifiedBy>Mario van den Berg</cp:lastModifiedBy>
  <cp:revision>40</cp:revision>
  <dcterms:created xsi:type="dcterms:W3CDTF">2023-01-12T10:59:00Z</dcterms:created>
  <dcterms:modified xsi:type="dcterms:W3CDTF">2023-01-26T14:55:00Z</dcterms:modified>
</cp:coreProperties>
</file>