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tbl>
      <w:tblPr>
        <w:tblStyle w:val="TableNormal"/>
        <w:tblW w:type="pct" w:w="5000.0"/>
        <w:tblLook/>
      </w:tblPr>
      <w:tblGrid>
        <w:gridCol w:w="7920"/>
      </w:tblGrid>
      <w:tr>
        <w:tc>
          <w:p>
            <w:pPr>
              <w:pStyle w:val="Compact"/>
              <w:jc w:val="center"/>
            </w:pPr>
            <w:r>
              <w:t xml:space="preserve">First Author</w:t>
            </w:r>
            <w:r>
              <w:rPr>
                <w:vertAlign w:val="superscript"/>
              </w:rPr>
              <w:t xml:space="preserve">1</w:t>
            </w:r>
            <w:r>
              <w:t xml:space="preserve"> &amp; Ernst-August Doelle</w:t>
            </w:r>
            <w:r>
              <w:rPr>
                <w:vertAlign w:val="superscript"/>
              </w:rPr>
              <w:t xml:space="preserve">1,2</w:t>
            </w:r>
          </w:p>
        </w:tc>
      </w:tr>
      <w:tr>
        <w:tc>
          <w:p>
            <w:pPr>
              <w:pStyle w:val="Compact"/>
              <w:jc w:val="center"/>
            </w:pPr>
            <w:r>
              <w:rPr>
                <w:vertAlign w:val="superscript"/>
              </w:rPr>
              <w:t xml:space="preserve">1</w:t>
            </w:r>
            <w:r>
              <w:t xml:space="preserve"> </w:t>
            </w:r>
            <w:r>
              <w:t xml:space="preserve">Wilhelm-Wundt-University</w:t>
            </w:r>
          </w:p>
        </w:tc>
      </w:tr>
      <w:tr>
        <w:tc>
          <w:p>
            <w:pPr>
              <w:pStyle w:val="Compact"/>
              <w:jc w:val="center"/>
            </w:pPr>
            <w:r>
              <w:rPr>
                <w:vertAlign w:val="superscript"/>
              </w:rPr>
              <w:t xml:space="preserve">2</w:t>
            </w:r>
            <w:r>
              <w:t xml:space="preserve"> </w:t>
            </w:r>
            <w:r>
              <w:t xml:space="preserve">Konstanz Business School</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First Author, Postal address. E-mail:</w:t>
      </w:r>
      <w:r>
        <w:t xml:space="preserve"> </w:t>
      </w:r>
      <w:hyperlink r:id="rId22">
        <w:r>
          <w:rPr>
            <w:rStyle w:val="Hyperlink"/>
          </w:rPr>
          <w:t xml:space="preserve">my@email.com</w:t>
        </w:r>
      </w:hyperlink>
    </w:p>
    <w:p>
      <w:pPr>
        <w:pStyle w:val="Compact"/>
        <w:pStyle w:val="h1-pagebreak"/>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The title</w:t>
      </w:r>
    </w:p>
    <w:p>
      <w:pPr>
        <w:pStyle w:val="berschrift1"/>
      </w:pPr>
      <w:bookmarkStart w:id="23" w:name="introduction"/>
      <w:bookmarkEnd w:id="23"/>
      <w:r>
        <w:t xml:space="preserve">Introduction</w:t>
      </w:r>
    </w:p>
    <w:p>
      <w:pPr>
        <w:pStyle w:val="FirstParagraph"/>
      </w:pPr>
      <w:r>
        <w:t xml:space="preserve">The large areas covered with tropical forests worldwide hold crucial environmental, economic and social values.</w:t>
      </w:r>
      <w:r>
        <w:t xml:space="preserve"> </w:t>
      </w:r>
      <w:r>
        <w:t xml:space="preserve">They provide wood and multiple non-timber forest products, shelter a diversified fauna, regulate the local and regional climates, the carbon, water and nutrient cycles, and ensure cultural and human well-being.</w:t>
      </w:r>
      <w:r>
        <w:t xml:space="preserve"> </w:t>
      </w:r>
      <w:r>
        <w:t xml:space="preserve">The growing demand in forests products together with current global changes increases the pressure on remaining natural forests</w:t>
      </w:r>
      <w:r>
        <w:t xml:space="preserve"> </w:t>
      </w:r>
      <w:r>
        <w:t xml:space="preserve">(Morales-Hidalgo, Oswalt, &amp; Somanathan, 2015)</w:t>
      </w:r>
      <w:r>
        <w:t xml:space="preserve"> </w:t>
      </w:r>
      <w:r>
        <w:t xml:space="preserve">and threatens the maintenance and dynamics in space and time of communities structure, composition and functioning</w:t>
      </w:r>
      <w:r>
        <w:t xml:space="preserve"> </w:t>
      </w:r>
      <w:r>
        <w:t xml:space="preserve">(Anderson-Teixeira et al., 2013)</w:t>
      </w:r>
      <w:r>
        <w:t xml:space="preserve">.</w:t>
      </w:r>
    </w:p>
    <w:p>
      <w:pPr>
        <w:pStyle w:val="Textkrper"/>
      </w:pPr>
      <w:r>
        <w:t xml:space="preserve">In tropical forests, ecological communities are regularly re-shaped by natural disturbance events changing both the abiotic environment, through the fluxes of light, heat and water</w:t>
      </w:r>
      <w:r>
        <w:t xml:space="preserve"> </w:t>
      </w:r>
      <w:r>
        <w:t xml:space="preserve">(Goulamoussène, Bedeau, Descroix, Linguet, &amp; Hérault, 2017)</w:t>
      </w:r>
      <w:r>
        <w:t xml:space="preserve">, and the biotic interactions such as competition among species</w:t>
      </w:r>
      <w:r>
        <w:t xml:space="preserve"> </w:t>
      </w:r>
      <w:r>
        <w:t xml:space="preserve">(Chesson, 2000)</w:t>
      </w:r>
      <w:r>
        <w:t xml:space="preserve">.</w:t>
      </w:r>
      <w:r>
        <w:t xml:space="preserve"> </w:t>
      </w:r>
      <w:r>
        <w:t xml:space="preserve">One of the cornerstone of tropical forest ecology is to understand the processes and drivers of ecosystems response to disturbance</w:t>
      </w:r>
      <w:r>
        <w:t xml:space="preserve"> </w:t>
      </w:r>
      <w:r>
        <w:t xml:space="preserve">(Chazdon, 2003)</w:t>
      </w:r>
      <w:r>
        <w:t xml:space="preserve">.</w:t>
      </w:r>
      <w:r>
        <w:t xml:space="preserve"> </w:t>
      </w:r>
      <w:r>
        <w:t xml:space="preserve">For now, this has been largely studied through forest structural parameters such as aboveground biomass, tree height or stem density</w:t>
      </w:r>
      <w:r>
        <w:t xml:space="preserve"> </w:t>
      </w:r>
      <w:r>
        <w:t xml:space="preserve">(Piponiot et al., 2016; Rutishauser, Hérault, Petronelli, &amp; Sist, 2016)</w:t>
      </w:r>
      <w:r>
        <w:t xml:space="preserve"> </w:t>
      </w:r>
      <w:r>
        <w:t xml:space="preserve">that are rapid and convenient to measure.</w:t>
      </w:r>
      <w:r>
        <w:t xml:space="preserve"> </w:t>
      </w:r>
      <w:r>
        <w:t xml:space="preserve">These structural parameters have been sucessfully modeled, giving important insights into the recovery of ecosystem processes and services</w:t>
      </w:r>
      <w:r>
        <w:t xml:space="preserve"> </w:t>
      </w:r>
      <w:r>
        <w:t xml:space="preserve">(Hérault &amp; Piponiot, 2018)</w:t>
      </w:r>
      <w:r>
        <w:t xml:space="preserve">.</w:t>
      </w:r>
      <w:r>
        <w:t xml:space="preserve"> </w:t>
      </w:r>
      <w:r>
        <w:t xml:space="preserve">However the response of forests diversity and composition remains unclear, albeit it determines the productivity, stability and functioning of ecosystems</w:t>
      </w:r>
      <w:r>
        <w:t xml:space="preserve"> </w:t>
      </w:r>
      <w:r>
        <w:t xml:space="preserve">(Liang et al., 2016; D. Tilman, Isbell, &amp; Cowles, 2014)</w:t>
      </w:r>
      <w:r>
        <w:t xml:space="preserve">.</w:t>
      </w:r>
      <w:r>
        <w:t xml:space="preserve"> </w:t>
      </w:r>
      <w:r>
        <w:t xml:space="preserve">In the short-term, moderate disturbance may lead to positive impacts on communities diversity, an idea formalized by the intermediate disturbance hypothesis (IDH) stating a maximized species diversity when disturbance intensity is not too high</w:t>
      </w:r>
      <w:r>
        <w:t xml:space="preserve"> </w:t>
      </w:r>
      <w:r>
        <w:t xml:space="preserve">(Kariuki, Kooyman, Smith, Wardell-Johnson, &amp; Vanclay, 2006; J. F. Molino &amp; Sabatier, 2001)</w:t>
      </w:r>
      <w:r>
        <w:t xml:space="preserve">.</w:t>
      </w:r>
    </w:p>
    <w:p>
      <w:pPr>
        <w:pStyle w:val="Textkrper"/>
      </w:pPr>
      <w:r>
        <w:t xml:space="preserve">Validations of the IDH though remain scarce in the long-term and mainly rely on the analysis of taxonomic richness</w:t>
      </w:r>
      <w:r>
        <w:t xml:space="preserve"> </w:t>
      </w:r>
      <w:r>
        <w:t xml:space="preserve">(J. F. Molino &amp; Sabatier, 2001)</w:t>
      </w:r>
      <w:r>
        <w:t xml:space="preserve">. Taxonomic richness alone, however, gives limited or misleading information on forests recovery and functioning</w:t>
      </w:r>
      <w:r>
        <w:t xml:space="preserve"> </w:t>
      </w:r>
      <w:r>
        <w:t xml:space="preserve">(Chaudhary, Burivalova, Koh, &amp; Hellweg, 2016)</w:t>
      </w:r>
      <w:r>
        <w:t xml:space="preserve">. More ecological-meaningful analysis would couple richness with (i) evenness, that would reveal the changes in the species abundance distribution and thus the underlying ecological processes, and (ii) composition that is crucial for conservation issues</w:t>
      </w:r>
      <w:r>
        <w:t xml:space="preserve"> </w:t>
      </w:r>
      <w:r>
        <w:t xml:space="preserve">(Bellwood, Wainwright, Fulton, &amp; Hoey, 2006; Lavorel &amp; Garnier, 2002)</w:t>
      </w:r>
      <w:r>
        <w:t xml:space="preserve">. Furthermore, a functional approach accounting for species biological attributes would directly link communities diversity, composition and redundancy to ecosystem functioning and to its environmental constraints</w:t>
      </w:r>
      <w:r>
        <w:t xml:space="preserve"> </w:t>
      </w:r>
      <w:r>
        <w:t xml:space="preserve">(Baraloto et al., 2012; Violle et al., 2007)</w:t>
      </w:r>
      <w:r>
        <w:t xml:space="preserve">.</w:t>
      </w:r>
      <w:r>
        <w:t xml:space="preserve"> </w:t>
      </w:r>
      <w:r>
        <w:t xml:space="preserve">In that respect, the functional trait-based approach that focus on major traits related to species ecology and mediate species performance in a given environment was sucessfully adopted</w:t>
      </w:r>
      <w:r>
        <w:t xml:space="preserve"> </w:t>
      </w:r>
      <w:r>
        <w:t xml:space="preserve">(Díaz et al., 2005)</w:t>
      </w:r>
      <w:r>
        <w:t xml:space="preserve">.</w:t>
      </w:r>
      <w:r>
        <w:t xml:space="preserve"> </w:t>
      </w:r>
      <w:r>
        <w:t xml:space="preserve">For instance, the functional approach revealed in tropical rainforests the deterministic processes entailing, after disturbance, a functional shift from a dominance of</w:t>
      </w:r>
      <w:r>
        <w:t xml:space="preserve"> </w:t>
      </w:r>
      <w:r>
        <w:t xml:space="preserve">“</w:t>
      </w:r>
      <w:r>
        <w:t xml:space="preserve">conservative</w:t>
      </w:r>
      <w:r>
        <w:t xml:space="preserve">”</w:t>
      </w:r>
      <w:r>
        <w:t xml:space="preserve"> </w:t>
      </w:r>
      <w:r>
        <w:t xml:space="preserve">slow-growing species dealing with scarce resources to</w:t>
      </w:r>
      <w:r>
        <w:t xml:space="preserve"> </w:t>
      </w:r>
      <w:r>
        <w:t xml:space="preserve">“</w:t>
      </w:r>
      <w:r>
        <w:t xml:space="preserve">acquisitive</w:t>
      </w:r>
      <w:r>
        <w:t xml:space="preserve">”</w:t>
      </w:r>
      <w:r>
        <w:t xml:space="preserve"> </w:t>
      </w:r>
      <w:r>
        <w:t xml:space="preserve">fast-growing species with rapid and efficient use of abundant resources</w:t>
      </w:r>
      <w:r>
        <w:t xml:space="preserve"> </w:t>
      </w:r>
      <w:r>
        <w:t xml:space="preserve">(Hérault et al., 2011; Reich, 2014)</w:t>
      </w:r>
      <w:r>
        <w:t xml:space="preserve">.</w:t>
      </w:r>
      <w:r>
        <w:t xml:space="preserve"> </w:t>
      </w:r>
      <w:r>
        <w:t xml:space="preserve">This shift is translated into the trajectories of key functional traits related to resource acquisition (leaf and stem traits) and life-history traits (seed mass, maximum size)</w:t>
      </w:r>
      <w:r>
        <w:t xml:space="preserve"> </w:t>
      </w:r>
      <w:r>
        <w:t xml:space="preserve">(Chave et al., 2009; Steege et al., 2006; Westoby &amp; Wright, 2006; Wright et al., 2004)</w:t>
      </w:r>
      <w:r>
        <w:t xml:space="preserve">.</w:t>
      </w:r>
      <w:r>
        <w:t xml:space="preserve"> </w:t>
      </w:r>
      <w:r>
        <w:t xml:space="preserve">Eventually a complete overview of communities response to disturbance would encompass the changes in functional redundancy, that quantifies the amount of shared trait values among species</w:t>
      </w:r>
      <w:r>
        <w:t xml:space="preserve"> </w:t>
      </w:r>
      <w:r>
        <w:t xml:space="preserve">(Carmona, Bello, Mason, &amp; Lepš, 2016)</w:t>
      </w:r>
      <w:r>
        <w:t xml:space="preserve">.</w:t>
      </w:r>
      <w:r>
        <w:t xml:space="preserve"> </w:t>
      </w:r>
      <w:r>
        <w:t xml:space="preserve">The high functional redundancy of hyperdiverse tropical forests</w:t>
      </w:r>
      <w:r>
        <w:t xml:space="preserve"> </w:t>
      </w:r>
      <w:r>
        <w:t xml:space="preserve">(Bellwood et al., 2006)</w:t>
      </w:r>
      <w:r>
        <w:t xml:space="preserve"> </w:t>
      </w:r>
      <w:r>
        <w:t xml:space="preserve">mitigates the impacts of species removal on ecosystem functioning and determines the resilience of communities after disturbance</w:t>
      </w:r>
      <w:r>
        <w:t xml:space="preserve"> </w:t>
      </w:r>
      <w:r>
        <w:t xml:space="preserve">(Díaz et al., 2005; Elmqvist et al., 2003)</w:t>
      </w:r>
      <w:r>
        <w:t xml:space="preserve">.</w:t>
      </w:r>
    </w:p>
    <w:p>
      <w:pPr>
        <w:pStyle w:val="Textkrper"/>
      </w:pPr>
      <w:r>
        <w:t xml:space="preserve">In this study, we monitored over 30 years the response of 75 ha of neotropical forest plots set up on a gradient of disturbance intensity, from 10 to 60% of ecosystem above-ground biomass (AGB) loss.</w:t>
      </w:r>
      <w:r>
        <w:t xml:space="preserve"> </w:t>
      </w:r>
      <w:r>
        <w:t xml:space="preserve">We made use of a large functional traits database encompassing major leaf, stem and life-history traits in order to draw the taxonomic and functional trajectories in terms of richness, evenness, composition and redundancy.</w:t>
      </w:r>
      <w:r>
        <w:t xml:space="preserve"> </w:t>
      </w:r>
      <w:r>
        <w:t xml:space="preserve">Specifically, we (i) elucidated community taxonomic and functional recovery and the underlying ecological processes, (ii) clarified the validity of the IDH in the long term for tropical forest and its translation into different trajectories in time, and (iii) questioned community recovery time.</w:t>
      </w:r>
    </w:p>
    <w:p>
      <w:pPr>
        <w:pStyle w:val="berschrift1"/>
      </w:pPr>
      <w:bookmarkStart w:id="24" w:name="material-and-methods"/>
      <w:bookmarkEnd w:id="24"/>
      <w:r>
        <w:t xml:space="preserve">Material and Methods</w:t>
      </w:r>
    </w:p>
    <w:p>
      <w:pPr>
        <w:pStyle w:val="berschrift2"/>
      </w:pPr>
      <w:bookmarkStart w:id="25" w:name="study-site"/>
      <w:bookmarkEnd w:id="25"/>
      <w:r>
        <w:t xml:space="preserve">Study site</w:t>
      </w:r>
    </w:p>
    <w:p>
      <w:pPr>
        <w:pStyle w:val="FirstParagraph"/>
      </w:pPr>
      <w:r>
        <w:t xml:space="preserve">Paracou station in French Guiana (5</w:t>
      </w:r>
      <w:r>
        <w:t xml:space="preserve">18’N and 52</w:t>
      </w:r>
      <w:r>
        <w:t xml:space="preserve">53’W) is located in a lowland tropical rain forest in a tropical wet climate with mean annual temperature of 26</w:t>
      </w:r>
      <w:r>
        <w:t xml:space="preserve">C, mean annual precipitation averaging 2980 mm.y</w:t>
      </w:r>
      <w:r>
        <w:rPr>
          <w:vertAlign w:val="superscript"/>
        </w:rPr>
        <w:t xml:space="preserve">-1</w:t>
      </w:r>
      <w:r>
        <w:t xml:space="preserve"> </w:t>
      </w:r>
      <w:r>
        <w:t xml:space="preserve">(30-y period) and a 3-month dry season (&lt; 100 mm.month</w:t>
      </w:r>
      <w:r>
        <w:rPr>
          <w:vertAlign w:val="superscript"/>
        </w:rPr>
        <w:t xml:space="preserve">-1</w:t>
      </w:r>
      <w:r>
        <w:t xml:space="preserve">) from mid-August to mid-November, and a one-month dry season in March</w:t>
      </w:r>
      <w:r>
        <w:t xml:space="preserve"> </w:t>
      </w:r>
      <w:r>
        <w:t xml:space="preserve">(Wagner, Hérault, Stahl, Bonal, &amp; Rossi, 2011)</w:t>
      </w:r>
      <w:r>
        <w:t xml:space="preserve">.</w:t>
      </w:r>
      <w:r>
        <w:t xml:space="preserve"> </w:t>
      </w:r>
      <w:r>
        <w:t xml:space="preserve">Elevation ranges between 5 and 50 m and soils correspond to thin acrisols over a layer of transformed saprolite with low permeability generating lateral drainage during heavy rains.</w:t>
      </w:r>
    </w:p>
    <w:p>
      <w:pPr>
        <w:pStyle w:val="Textkrper"/>
      </w:pPr>
      <w:r>
        <w:t xml:space="preserve">The experiment is a network of twelve 6.25ha plots that underwent a disturbance gradient of three logging, thinning and fuelwood cutting treatments (Table</w:t>
      </w:r>
      <w:r>
        <w:t xml:space="preserve"> </w:t>
      </w:r>
      <w:r>
        <w:t xml:space="preserve">??</w:t>
      </w:r>
      <w:r>
        <w:t xml:space="preserve">) according to a randomized plot design with three replicate blocks of four plots.</w:t>
      </w:r>
      <w:r>
        <w:t xml:space="preserve"> </w:t>
      </w:r>
      <w:r>
        <w:t xml:space="preserve">The disturbance corresponds to averages of 10 trees removed per hectare with a diameter at 1.3 m height (DBH) above 50 cm for treatment 1 (T1), 32 trees/ha above 40 cm DBH for treatment 2 (T2) and 40 trees/ha above 40 cm DBH for treatment 3 (T3).</w:t>
      </w:r>
      <w:r>
        <w:t xml:space="preserve"> </w:t>
      </w:r>
      <w:r>
        <w:t xml:space="preserve">Treatments T2 and T3 besides included the thinning of trees by poison girdling</w:t>
      </w:r>
      <w:r>
        <w:t xml:space="preserve"> </w:t>
      </w:r>
      <w:r>
        <w:t xml:space="preserve">(Schmitt &amp; Bariteau, 1989)</w:t>
      </w:r>
      <w:r>
        <w:t xml:space="preserve">.</w:t>
      </w:r>
      <w:r>
        <w:t xml:space="preserve"> </w:t>
      </w:r>
      <w:r>
        <w:t xml:space="preserve">The disturbance intensity was measured as the percentage of aboveground biomass (%AGB) lost between the first inventory in 1984 and five years after disturbance</w:t>
      </w:r>
      <w:r>
        <w:t xml:space="preserve"> </w:t>
      </w:r>
      <w:r>
        <w:t xml:space="preserve">(Piponiot et al., 2016)</w:t>
      </w:r>
      <w:r>
        <w:t xml:space="preserve"> </w:t>
      </w:r>
      <w:r>
        <w:t xml:space="preserve">estimated with the BIOMASS R package</w:t>
      </w:r>
      <w:r>
        <w:t xml:space="preserve"> </w:t>
      </w:r>
      <w:r>
        <w:t xml:space="preserve">(Réjou-Méchain, Tanguy, Piponiot, Chave, &amp; Hérault, 2018)</w:t>
      </w:r>
      <w:r>
        <w:t xml:space="preserve">.</w:t>
      </w:r>
    </w:p>
    <w:p>
      <w:pPr>
        <w:pStyle w:val="berschrift2"/>
      </w:pPr>
      <w:bookmarkStart w:id="26" w:name="inventories-protocol-and-dataset-collection"/>
      <w:bookmarkEnd w:id="26"/>
      <w:r>
        <w:t xml:space="preserve">Inventories protocol and dataset collection</w:t>
      </w:r>
    </w:p>
    <w:p>
      <w:pPr>
        <w:pStyle w:val="FirstParagraph"/>
      </w:pPr>
      <w:r>
        <w:t xml:space="preserve">The study site corresponds to a tropical rainforest typical of the Guiana Shield with a dominance of Fabaceae, Chrysobalanaceae, Lecythidaceae and Sapotaceae.</w:t>
      </w:r>
      <w:r>
        <w:t xml:space="preserve"> </w:t>
      </w:r>
      <w:r>
        <w:t xml:space="preserve">In the twelve experimental plots, all trees above 10 cm DBH have been mapped and measured annually since 1984.</w:t>
      </w:r>
      <w:r>
        <w:t xml:space="preserve"> </w:t>
      </w:r>
      <w:r>
        <w:t xml:space="preserve">Trees are first identified with a vernacular name assigned by the forest worker team, and afterward with a scientific name assigned by botanists during regular botanical campaigns.</w:t>
      </w:r>
      <w:r>
        <w:t xml:space="preserve"> </w:t>
      </w:r>
      <w:r>
        <w:t xml:space="preserve">In 1984, specific vernacular names were given to 62 commercial or common species whereas more infrequent ones were identified under general identifiers only distinguishing trees and palm trees.</w:t>
      </w:r>
      <w:r>
        <w:t xml:space="preserve"> </w:t>
      </w:r>
      <w:r>
        <w:t xml:space="preserve">From 2003, botanical campaigns have been conducted every 5 to 6 years to identify all trees at the species level but identification levels still varied among plots and campaigns.</w:t>
      </w:r>
    </w:p>
    <w:p>
      <w:pPr>
        <w:pStyle w:val="Textkrper"/>
      </w:pPr>
      <w:r>
        <w:t xml:space="preserve">This variability of protocols in time raised methodological issues as vernacular names usually correspond to different botanical species.</w:t>
      </w:r>
      <w:r>
        <w:t xml:space="preserve"> </w:t>
      </w:r>
      <w:r>
        <w:t xml:space="preserve">It resulted in significant taxonomic uncertainties that had to be propagated to composition and diversity metrics.</w:t>
      </w:r>
      <w:r>
        <w:t xml:space="preserve"> </w:t>
      </w:r>
      <w:r>
        <w:t xml:space="preserve">The uncertainty propagation was done through a Bayesian framework reconstituting complete inventories at genus level from real incomplete ones on the basis of vernacular/botanical names association.</w:t>
      </w:r>
      <w:r>
        <w:t xml:space="preserve"> </w:t>
      </w:r>
      <w:r>
        <w:t xml:space="preserve">Vernacular names were replaced through multinomial trials based on the association probability</w:t>
      </w:r>
      <w:r>
        <w:t xml:space="preserve"> </w:t>
      </w:r>
      <m:oMath>
        <m:r>
          <m:t>[</m:t>
        </m:r>
        <m:sSub>
          <m:e>
            <m:r>
              <m:t>α</m:t>
            </m:r>
          </m:e>
          <m:sub>
            <m:r>
              <m:t>1</m:t>
            </m:r>
          </m:sub>
        </m:sSub>
        <m:r>
          <m:t>,</m:t>
        </m:r>
        <m:sSub>
          <m:e>
            <m:r>
              <m:t>α</m:t>
            </m:r>
          </m:e>
          <m:sub>
            <m:r>
              <m:t>2</m:t>
            </m:r>
          </m:sub>
        </m:sSub>
        <m:r>
          <m:t>,</m:t>
        </m:r>
        <m:r>
          <m:t>.</m:t>
        </m:r>
        <m:r>
          <m:t>.</m:t>
        </m:r>
        <m:r>
          <m:t>.</m:t>
        </m:r>
        <m:r>
          <m:t>,</m:t>
        </m:r>
        <m:sSub>
          <m:e>
            <m:r>
              <m:t>α</m:t>
            </m:r>
          </m:e>
          <m:sub>
            <m:r>
              <m:t>V</m:t>
            </m:r>
          </m:sub>
        </m:sSub>
        <m:r>
          <m:t>]</m:t>
        </m:r>
      </m:oMath>
      <w:r>
        <w:t xml:space="preserve"> </w:t>
      </w:r>
      <w:r>
        <w:t xml:space="preserve">observed across all inventories between each vernacular name</w:t>
      </w:r>
      <w:r>
        <w:t xml:space="preserve"> </w:t>
      </w:r>
      <w:r>
        <w:rPr>
          <w:i/>
        </w:rPr>
        <w:t xml:space="preserve">v</w:t>
      </w:r>
      <w:r>
        <w:t xml:space="preserve"> </w:t>
      </w:r>
      <w:r>
        <w:t xml:space="preserve">and all species</w:t>
      </w:r>
      <w:r>
        <w:t xml:space="preserve"> </w:t>
      </w:r>
      <m:oMath>
        <m:r>
          <m:t>[</m:t>
        </m:r>
        <m:sSub>
          <m:e>
            <m:r>
              <m:t>s</m:t>
            </m:r>
          </m:e>
          <m:sub>
            <m:r>
              <m:t>1</m:t>
            </m:r>
          </m:sub>
        </m:sSub>
        <m:r>
          <m:t>,</m:t>
        </m:r>
        <m:sSub>
          <m:e>
            <m:r>
              <m:t>s</m:t>
            </m:r>
          </m:e>
          <m:sub>
            <m:r>
              <m:t>2</m:t>
            </m:r>
          </m:sub>
        </m:sSub>
        <m:r>
          <m:t>,</m:t>
        </m:r>
        <m:r>
          <m:t>.</m:t>
        </m:r>
        <m:r>
          <m:t>.</m:t>
        </m:r>
        <m:r>
          <m:t>.</m:t>
        </m:r>
        <m:r>
          <m:t>,</m:t>
        </m:r>
        <m:sSub>
          <m:e>
            <m:r>
              <m:t>s</m:t>
            </m:r>
          </m:e>
          <m:sub>
            <m:r>
              <m:t>N</m:t>
            </m:r>
          </m:sub>
        </m:sSub>
        <m:r>
          <m:t>]</m:t>
        </m:r>
      </m:oMath>
      <w:r>
        <w:t xml:space="preserve">:</w:t>
      </w:r>
    </w:p>
    <w:p>
      <w:pPr>
        <w:pStyle w:val="Textkrper"/>
      </w:pPr>
      <m:oMathPara>
        <m:oMathParaPr>
          <m:jc m:val="center"/>
        </m:oMathParaPr>
        <m:oMath>
          <m:m>
            <m:mPr>
              <m:baseJc m:val="center"/>
              <m:plcHide m:val="1"/>
              <m:mcs>
                <m:mc>
                  <m:mcPr>
                    <m:mcJc m:val="right"/>
                    <m:count m:val="1"/>
                  </m:mcPr>
                </m:mc>
              </m:mcs>
            </m:mPr>
            <m:mr>
              <m:e>
                <m:sSub>
                  <m:e>
                    <m:r>
                      <m:t>M</m:t>
                    </m:r>
                  </m:e>
                  <m:sub>
                    <m:r>
                      <m:t>v</m:t>
                    </m:r>
                  </m:sub>
                </m:sSub>
                <m:r>
                  <m:t>(</m:t>
                </m:r>
                <m:r>
                  <m:t>[</m:t>
                </m:r>
                <m:sSub>
                  <m:e>
                    <m:r>
                      <m:t>s</m:t>
                    </m:r>
                  </m:e>
                  <m:sub>
                    <m:r>
                      <m:t>1</m:t>
                    </m:r>
                  </m:sub>
                </m:sSub>
                <m:r>
                  <m:t>,</m:t>
                </m:r>
                <m:sSub>
                  <m:e>
                    <m:r>
                      <m:t>s</m:t>
                    </m:r>
                  </m:e>
                  <m:sub>
                    <m:r>
                      <m:t>2</m:t>
                    </m:r>
                  </m:sub>
                </m:sSub>
                <m:r>
                  <m:t>,</m:t>
                </m:r>
                <m:r>
                  <m:t>.</m:t>
                </m:r>
                <m:r>
                  <m:t>.</m:t>
                </m:r>
                <m:r>
                  <m:t>.</m:t>
                </m:r>
                <m:r>
                  <m:t>,</m:t>
                </m:r>
                <m:sSub>
                  <m:e>
                    <m:r>
                      <m:t>s</m:t>
                    </m:r>
                  </m:e>
                  <m:sub>
                    <m:r>
                      <m:t>N</m:t>
                    </m:r>
                  </m:sub>
                </m:sSub>
                <m:r>
                  <m:t>]</m:t>
                </m:r>
                <m:r>
                  <m:t>,</m:t>
                </m:r>
                <m:r>
                  <m:t>[</m:t>
                </m:r>
                <m:sSub>
                  <m:e>
                    <m:r>
                      <m:t>α</m:t>
                    </m:r>
                  </m:e>
                  <m:sub>
                    <m:r>
                      <m:t>1</m:t>
                    </m:r>
                  </m:sub>
                </m:sSub>
                <m:r>
                  <m:t>,</m:t>
                </m:r>
                <m:sSub>
                  <m:e>
                    <m:r>
                      <m:t>α</m:t>
                    </m:r>
                  </m:e>
                  <m:sub>
                    <m:r>
                      <m:t>2</m:t>
                    </m:r>
                  </m:sub>
                </m:sSub>
                <m:r>
                  <m:t>,</m:t>
                </m:r>
                <m:r>
                  <m:t>.</m:t>
                </m:r>
                <m:r>
                  <m:t>.</m:t>
                </m:r>
                <m:r>
                  <m:t>.</m:t>
                </m:r>
                <m:r>
                  <m:t>,</m:t>
                </m:r>
                <m:sSub>
                  <m:e>
                    <m:r>
                      <m:t>α</m:t>
                    </m:r>
                  </m:e>
                  <m:sub>
                    <m:r>
                      <m:t>V</m:t>
                    </m:r>
                  </m:sub>
                </m:sSub>
                <m:r>
                  <m:t>]</m:t>
                </m:r>
                <m:r>
                  <m:t>)</m:t>
                </m:r>
              </m:e>
            </m:mr>
          </m:m>
        </m:oMath>
      </m:oMathPara>
    </w:p>
    <w:p>
      <w:pPr>
        <w:pStyle w:val="FirstParagraph"/>
      </w:pPr>
      <w:r>
        <w:t xml:space="preserve">See Supplementary Materials -Figure S1 and</w:t>
      </w:r>
      <w:r>
        <w:t xml:space="preserve"> </w:t>
      </w:r>
      <w:r>
        <w:t xml:space="preserve">Aubry-Kientz, Hérault, Ayotte-Trépanier, Baraloto, and Rossi (2013)</w:t>
      </w:r>
      <w:r>
        <w:t xml:space="preserve"> </w:t>
      </w:r>
      <w:r>
        <w:t xml:space="preserve">for the detailed methodology.</w:t>
      </w:r>
    </w:p>
    <w:p>
      <w:pPr>
        <w:pStyle w:val="Textkrper"/>
      </w:pPr>
      <w:r>
        <w:t xml:space="preserve">Six functional traits representing leaf economics (leaves thickness, toughness, total chlorophyll content and specific leaf area) and stem economics (wood specific gravity and bark thickness), and life-history traits (maximum specific height and seed mass) came from the BRIDGE project.</w:t>
      </w:r>
      <w:r>
        <w:rPr>
          <w:rStyle w:val="Funotenzeichen"/>
        </w:rPr>
        <w:footnoteReference w:id="27"/>
      </w:r>
      <w:r>
        <w:t xml:space="preserve"> </w:t>
      </w:r>
      <w:r>
        <w:t xml:space="preserve">Trait values were assessed from a selection of individuals located in nine permanent plots in French Guiana, including two in Paracou, and comprised 294 species pertaining to 157 genera.</w:t>
      </w:r>
      <w:r>
        <w:t xml:space="preserve"> </w:t>
      </w:r>
      <w:r>
        <w:t xml:space="preserve">Missing trait values (10%) were filled using multivariate imputation by chained equation</w:t>
      </w:r>
      <w:r>
        <w:t xml:space="preserve"> </w:t>
      </w:r>
      <w:r>
        <w:t xml:space="preserve">(van Buuren &amp; Groothuis-Oudshoorn, 2011)</w:t>
      </w:r>
      <w:r>
        <w:t xml:space="preserve">.</w:t>
      </w:r>
      <w:r>
        <w:t xml:space="preserve"> </w:t>
      </w:r>
      <w:r>
        <w:t xml:space="preserve">Imputations were restricted within genus or family when samples were too scarce, in order to account for the phylogenetic signal.</w:t>
      </w:r>
      <w:r>
        <w:t xml:space="preserve"> </w:t>
      </w:r>
      <w:r>
        <w:t xml:space="preserve">Whenever a species was not in the dataset, it was attributed a set of trait values randomly sampled among species of the next higher taxonomic level (same genus or family).</w:t>
      </w:r>
      <w:r>
        <w:t xml:space="preserve"> </w:t>
      </w:r>
      <w:r>
        <w:t xml:space="preserve">As seed mass information was classified into classes, no data filling process was applied and analyses were restricted to the 414 botanical species recorded.</w:t>
      </w:r>
    </w:p>
    <w:p>
      <w:pPr>
        <w:pStyle w:val="Textkrper"/>
      </w:pPr>
      <w:r>
        <w:t xml:space="preserve">All composition and diversity metrics were obtained after 50 iterations of the uncertainty propagation framework.</w:t>
      </w:r>
    </w:p>
    <w:p>
      <w:pPr>
        <w:pStyle w:val="berschrift2"/>
      </w:pPr>
      <w:bookmarkStart w:id="29" w:name="composition-and-diversity-metrics"/>
      <w:bookmarkEnd w:id="29"/>
      <w:r>
        <w:t xml:space="preserve">Composition and diversity metrics</w:t>
      </w:r>
    </w:p>
    <w:p>
      <w:pPr>
        <w:pStyle w:val="FirstParagraph"/>
      </w:pPr>
      <w:r>
        <w:t xml:space="preserve">To counter taxonomic uncertainties due to the variability of botanical identification levels (in space) and protocols (in time), the taxonomic composition and diversity analysis were conducted at the genus level.</w:t>
      </w:r>
      <w:r>
        <w:t xml:space="preserve"> </w:t>
      </w:r>
      <w:r>
        <w:t xml:space="preserve">Taxonomic and functional trajectories of community composition were followed in a two-dimensional NMDS ordination space.</w:t>
      </w:r>
      <w:r>
        <w:t xml:space="preserve"> </w:t>
      </w:r>
      <w:r>
        <w:t xml:space="preserve">Two NMDS using abundance-based (Bray-Curtis) dissimilarity measures were conducted to map either taxonomic or functional composition, the later based on the 7 leaf, stem and life history traits (without seed mass classes).</w:t>
      </w:r>
      <w:r>
        <w:t xml:space="preserve"> </w:t>
      </w:r>
      <w:r>
        <w:t xml:space="preserve">Trajectories along time were reported through the euclidean distance between the target inventories and the reference inventories in 1989,</w:t>
      </w:r>
      <w:r>
        <w:t xml:space="preserve"> </w:t>
      </w:r>
      <w:r>
        <w:rPr>
          <w:i/>
        </w:rPr>
        <w:t xml:space="preserve">i.e.</w:t>
      </w:r>
      <w:r>
        <w:t xml:space="preserve"> </w:t>
      </w:r>
      <w:r>
        <w:t xml:space="preserve">2 years after disturbance.</w:t>
      </w:r>
      <w:r>
        <w:t xml:space="preserve"> </w:t>
      </w:r>
      <w:r>
        <w:t xml:space="preserve">Univariate trajectories of the leaf, stem and life-history traits were also visualized with the community weighted means (CWM)</w:t>
      </w:r>
      <w:r>
        <w:t xml:space="preserve"> </w:t>
      </w:r>
      <w:r>
        <w:t xml:space="preserve">(Díaz et al., 2007)</w:t>
      </w:r>
      <w:r>
        <w:t xml:space="preserve">.</w:t>
      </w:r>
      <w:r>
        <w:t xml:space="preserve"> </w:t>
      </w:r>
      <w:r>
        <w:t xml:space="preserve">Species seed mass corresponded to 5 classes of increasing mass, seed mass trajectories were therefore reported as the proportion of each class in the inventories (Supplementary materials).</w:t>
      </w:r>
    </w:p>
    <w:p>
      <w:pPr>
        <w:pStyle w:val="Textkrper"/>
      </w:pPr>
      <w:r>
        <w:t xml:space="preserve">The taxonomic diversity was reported through species richness and evenness,</w:t>
      </w:r>
      <w:r>
        <w:t xml:space="preserve"> </w:t>
      </w:r>
      <w:r>
        <w:rPr>
          <w:i/>
        </w:rPr>
        <w:t xml:space="preserve">i.e</w:t>
      </w:r>
      <w:r>
        <w:t xml:space="preserve"> </w:t>
      </w:r>
      <w:r>
        <w:t xml:space="preserve">the Hill number translation of the Simpson index</w:t>
      </w:r>
      <w:r>
        <w:t xml:space="preserve"> </w:t>
      </w:r>
      <w:r>
        <w:t xml:space="preserve">(Hill, 1973)</w:t>
      </w:r>
      <w:r>
        <w:t xml:space="preserve">.</w:t>
      </w:r>
      <w:r>
        <w:t xml:space="preserve"> </w:t>
      </w:r>
      <w:r>
        <w:t xml:space="preserve">These indices belong to the set of HCDT or generalized entropy, respectively corresponding to the 0 and 2 order of diversity (q), recomended for diversity studies</w:t>
      </w:r>
      <w:r>
        <w:t xml:space="preserve"> </w:t>
      </w:r>
      <w:r>
        <w:t xml:space="preserve">(Marcon, 2015)</w:t>
      </w:r>
      <w:r>
        <w:t xml:space="preserve">.</w:t>
      </w:r>
      <w:r>
        <w:t xml:space="preserve"> </w:t>
      </w:r>
      <w:r>
        <w:t xml:space="preserve">The functional diversity was reported using the functional richness and functional evenness,</w:t>
      </w:r>
      <w:r>
        <w:t xml:space="preserve"> </w:t>
      </w:r>
      <w:r>
        <w:rPr>
          <w:i/>
        </w:rPr>
        <w:t xml:space="preserve">i.e</w:t>
      </w:r>
      <w:r>
        <w:t xml:space="preserve"> </w:t>
      </w:r>
      <w:r>
        <w:t xml:space="preserve">Rao index of quadratic entropy which combines species abundance distribution and average pairwise dissimilarity based on species functional traits.</w:t>
      </w:r>
    </w:p>
    <w:p>
      <w:pPr>
        <w:pStyle w:val="Textkrper"/>
      </w:pPr>
      <w:r>
        <w:t xml:space="preserve">The impacts of initial disturbance were tested with the spearman rank correlation between the extrema of taxonomic and functional metrics reached over the 30 years and the initial %AGB loss.</w:t>
      </w:r>
      <w:r>
        <w:t xml:space="preserve"> </w:t>
      </w:r>
      <w:r>
        <w:t xml:space="preserve">They were besides analysed through polynomial regression between (i) taxonomic and functional richness and evenness and (ii) the initial %AGB loss at 10, 20 and 30 years after disturbance.</w:t>
      </w:r>
    </w:p>
    <w:p>
      <w:pPr>
        <w:pStyle w:val="Textkrper"/>
      </w:pPr>
      <w:r>
        <w:t xml:space="preserve">The functional redundancy was measured as the overlap among species in community functional space</w:t>
      </w:r>
      <w:r>
        <w:t xml:space="preserve"> </w:t>
      </w:r>
      <w:r>
        <w:t xml:space="preserve">(Carmona et al., 2016)</w:t>
      </w:r>
      <w:r>
        <w:t xml:space="preserve">.</w:t>
      </w:r>
      <w:r>
        <w:t xml:space="preserve"> </w:t>
      </w:r>
      <w:r>
        <w:t xml:space="preserve">The samples of the trait database were first mapped in a 2-dimensional plan with a PCA analysis.</w:t>
      </w:r>
      <w:r>
        <w:t xml:space="preserve"> </w:t>
      </w:r>
      <w:r>
        <w:t xml:space="preserve">Then, multivariate kernel density estimator associated with individual trees returned species traits probability distribution (TDP).</w:t>
      </w:r>
      <w:r>
        <w:t xml:space="preserve"> </w:t>
      </w:r>
      <w:r>
        <w:t xml:space="preserve">Species TDP weighted by species abundance were eventually summed for each community.</w:t>
      </w:r>
      <w:r>
        <w:t xml:space="preserve"> </w:t>
      </w:r>
      <w:r>
        <w:t xml:space="preserve">Community functional redundancy was the sum of TDPs overlap, expressed as the average number of species that could be removed from without reducing the functional space (Supp. Mat. - Figure S1 for a more comprehensive sheme).</w:t>
      </w:r>
    </w:p>
    <w:p>
      <w:pPr>
        <w:pStyle w:val="berschrift1"/>
      </w:pPr>
      <w:bookmarkStart w:id="30" w:name="results"/>
      <w:bookmarkEnd w:id="30"/>
      <w:r>
        <w:t xml:space="preserve">Results</w:t>
      </w:r>
    </w:p>
    <w:p>
      <w:pPr>
        <w:pStyle w:val="berschrift2"/>
      </w:pPr>
      <w:bookmarkStart w:id="31" w:name="communities-composition"/>
      <w:bookmarkEnd w:id="31"/>
      <w:r>
        <w:t xml:space="preserve">Communities Composition</w:t>
      </w:r>
    </w:p>
    <w:p>
      <w:pPr>
        <w:pStyle w:val="FirstParagraph"/>
      </w:pPr>
      <w:r>
        <w:t xml:space="preserve">From 1989 (2 years after disturbance) to 2015 (28 years after disturbance), 828 388 individual trees and 591 botanical species pertaining to 223 genus and 64 families were recorded.</w:t>
      </w:r>
    </w:p>
    <w:p>
      <w:pPr>
        <w:pStyle w:val="Textkrper"/>
      </w:pPr>
      <w:r>
        <w:t xml:space="preserve">While both taxonomic and functional composition remained stable in undisturbed communities (Figure</w:t>
      </w:r>
      <w:r>
        <w:t xml:space="preserve"> </w:t>
      </w:r>
      <w:r>
        <w:t xml:space="preserve">??</w:t>
      </w:r>
      <w:r>
        <w:t xml:space="preserve">), they followed marked and consistent trajectories over post-</w:t>
      </w:r>
      <w:r>
        <w:t xml:space="preserve">disturbance time.</w:t>
      </w:r>
      <w:r>
        <w:t xml:space="preserve"> </w:t>
      </w:r>
      <w:r>
        <w:t xml:space="preserve">In disturbed communities, these compositional changes corresponded to shifts towards species with more acquisitive functional strategies, from communities with high average WSG to high average SLA and chlorophyll content (see appendix I). For functional composition, this translated into cyclic compositional changes with an unachieved recovery of the initial composition (Figure</w:t>
      </w:r>
      <w:r>
        <w:t xml:space="preserve"> </w:t>
      </w:r>
      <w:r>
        <w:t xml:space="preserve">??</w:t>
      </w:r>
      <w:r>
        <w:t xml:space="preserve">). The maximum dissimilarity with the initial state was positively correlated to the disturbance intensity for both taxonomic and functional composition (</w:t>
      </w:r>
      <m:oMath>
        <m:sSubSup>
          <m:e>
            <m:r>
              <m:t>ρ</m:t>
            </m:r>
          </m:e>
          <m:sub>
            <m:r>
              <m:t>s</m:t>
            </m:r>
            <m:r>
              <m:t>p</m:t>
            </m:r>
            <m:r>
              <m:t>e</m:t>
            </m:r>
            <m:r>
              <m:t>a</m:t>
            </m:r>
            <m:r>
              <m:t>r</m:t>
            </m:r>
            <m:r>
              <m:t>m</m:t>
            </m:r>
            <m:r>
              <m:t>a</m:t>
            </m:r>
            <m:r>
              <m:t>n</m:t>
            </m:r>
          </m:sub>
          <m:sup>
            <m:r>
              <m:t>t</m:t>
            </m:r>
            <m:r>
              <m:t>a</m:t>
            </m:r>
            <m:r>
              <m:t>x</m:t>
            </m:r>
            <m:r>
              <m:t>o</m:t>
            </m:r>
            <m:r>
              <m:t>n</m:t>
            </m:r>
            <m:r>
              <m:t>o</m:t>
            </m:r>
            <m:r>
              <m:t>m</m:t>
            </m:r>
            <m:r>
              <m:t>i</m:t>
            </m:r>
            <m:r>
              <m:t>c</m:t>
            </m:r>
          </m:sup>
        </m:sSubSup>
        <m:r>
          <m:t>=</m:t>
        </m:r>
        <m:r>
          <m:t>0.87</m:t>
        </m:r>
      </m:oMath>
      <w:r>
        <w:t xml:space="preserve"> </w:t>
      </w:r>
      <w:r>
        <w:t xml:space="preserve">and</w:t>
      </w:r>
      <w:r>
        <w:t xml:space="preserve"> </w:t>
      </w:r>
      <m:oMath>
        <m:sSubSup>
          <m:e>
            <m:r>
              <m:t>ρ</m:t>
            </m:r>
          </m:e>
          <m:sub>
            <m:r>
              <m:t>s</m:t>
            </m:r>
            <m:r>
              <m:t>p</m:t>
            </m:r>
            <m:r>
              <m:t>e</m:t>
            </m:r>
            <m:r>
              <m:t>a</m:t>
            </m:r>
            <m:r>
              <m:t>r</m:t>
            </m:r>
            <m:r>
              <m:t>m</m:t>
            </m:r>
            <m:r>
              <m:t>a</m:t>
            </m:r>
            <m:r>
              <m:t>n</m:t>
            </m:r>
          </m:sub>
          <m:sup>
            <m:r>
              <m:t>f</m:t>
            </m:r>
            <m:r>
              <m:t>u</m:t>
            </m:r>
            <m:r>
              <m:t>n</m:t>
            </m:r>
            <m:r>
              <m:t>c</m:t>
            </m:r>
            <m:r>
              <m:t>t</m:t>
            </m:r>
            <m:r>
              <m:t>i</m:t>
            </m:r>
            <m:r>
              <m:t>o</m:t>
            </m:r>
            <m:r>
              <m:t>n</m:t>
            </m:r>
            <m:r>
              <m:t>a</m:t>
            </m:r>
            <m:r>
              <m:t>l</m:t>
            </m:r>
          </m:sup>
        </m:sSubSup>
        <m:r>
          <m:t>=</m:t>
        </m:r>
        <m:r>
          <m:t>0.90</m:t>
        </m:r>
      </m:oMath>
      <w:r>
        <w:t xml:space="preserve"> </w:t>
      </w:r>
      <w:r>
        <w:t xml:space="preserve">respectively). The maximum value was reached around 26 years after disturbance for taxonomic composition and 22 years for functional composition.</w:t>
      </w:r>
    </w:p>
    <w:p>
      <w:pPr>
        <w:pStyle w:val="Textkrper"/>
      </w:pPr>
      <w:r>
        <w:t xml:space="preserve">Except for leaf chlorophyll content, which continued to increase for some T3 and T2 plots 30 years after disturbance, all traits and seed mass proportions followed unimodal trajectories either stabilizing or returning towards their initial values.</w:t>
      </w:r>
    </w:p>
    <w:p>
      <w:pPr>
        <w:pStyle w:val="Textkrper"/>
      </w:pPr>
      <w:r>
        <w:t xml:space="preserve">Maximum height at adult stage (</w:t>
      </w:r>
      <w:r>
        <w:rPr>
          <w:i/>
        </w:rPr>
        <w:t xml:space="preserve">Hmax</w:t>
      </w:r>
      <w:r>
        <w:t xml:space="preserve">), leaf toughness (</w:t>
      </w:r>
      <w:r>
        <w:rPr>
          <w:i/>
        </w:rPr>
        <w:t xml:space="preserve">L_toughness</w:t>
      </w:r>
      <w:r>
        <w:t xml:space="preserve">) and wood specific gravity (</w:t>
      </w:r>
      <w:r>
        <w:rPr>
          <w:i/>
        </w:rPr>
        <w:t xml:space="preserve">WSG</w:t>
      </w:r>
      <w:r>
        <w:t xml:space="preserve">) first decreased and then slightly increased but remained significantly lower than their initial value (Figure</w:t>
      </w:r>
      <w:r>
        <w:t xml:space="preserve"> </w:t>
      </w:r>
      <w:r>
        <w:t xml:space="preserve">??</w:t>
      </w:r>
      <w:r>
        <w:t xml:space="preserve">). On the other side, Bark thickness (</w:t>
      </w:r>
      <w:r>
        <w:rPr>
          <w:i/>
        </w:rPr>
        <w:t xml:space="preserve">Bark_thick</w:t>
      </w:r>
      <w:r>
        <w:t xml:space="preserve">) and specific leaf area (</w:t>
      </w:r>
      <w:r>
        <w:rPr>
          <w:i/>
        </w:rPr>
        <w:t xml:space="preserve">SLA</w:t>
      </w:r>
      <w:r>
        <w:t xml:space="preserve">) increased and while</w:t>
      </w:r>
      <w:r>
        <w:t xml:space="preserve"> </w:t>
      </w:r>
      <w:r>
        <w:rPr>
          <w:i/>
        </w:rPr>
        <w:t xml:space="preserve">Bark_thick</w:t>
      </w:r>
      <w:r>
        <w:t xml:space="preserve"> </w:t>
      </w:r>
      <w:r>
        <w:t xml:space="preserve">remained substantially high after 30 years,</w:t>
      </w:r>
      <w:r>
        <w:t xml:space="preserve"> </w:t>
      </w:r>
      <w:r>
        <w:rPr>
          <w:i/>
        </w:rPr>
        <w:t xml:space="preserve">SLA</w:t>
      </w:r>
      <w:r>
        <w:t xml:space="preserve"> </w:t>
      </w:r>
      <w:r>
        <w:t xml:space="preserve">had almost recovered its initial value. For all traits, the maximum difference to initial value was correlated to the disturbance intensity (</w:t>
      </w:r>
      <m:oMath>
        <m:sSubSup>
          <m:e>
            <m:r>
              <m:t>ρ</m:t>
            </m:r>
          </m:e>
          <m:sub>
            <m:r>
              <m:t>s</m:t>
            </m:r>
            <m:r>
              <m:t>p</m:t>
            </m:r>
            <m:r>
              <m:t>e</m:t>
            </m:r>
            <m:r>
              <m:t>a</m:t>
            </m:r>
            <m:r>
              <m:t>r</m:t>
            </m:r>
            <m:r>
              <m:t>m</m:t>
            </m:r>
            <m:r>
              <m:t>a</m:t>
            </m:r>
            <m:r>
              <m:t>n</m:t>
            </m:r>
          </m:sub>
          <m:sup>
            <m:sSub>
              <m:e>
                <m:r>
                  <m:t>L</m:t>
                </m:r>
              </m:e>
              <m:sub>
                <m:r>
                  <m:t>t</m:t>
                </m:r>
                <m:r>
                  <m:t>h</m:t>
                </m:r>
                <m:r>
                  <m:t>i</m:t>
                </m:r>
                <m:r>
                  <m:t>c</m:t>
                </m:r>
                <m:r>
                  <m:t>k</m:t>
                </m:r>
                <m:r>
                  <m:t>n</m:t>
                </m:r>
                <m:r>
                  <m:t>e</m:t>
                </m:r>
                <m:r>
                  <m:t>s</m:t>
                </m:r>
                <m:r>
                  <m:t>s</m:t>
                </m:r>
              </m:sub>
            </m:sSub>
          </m:sup>
        </m:sSubSup>
        <m:r>
          <m:t>=</m:t>
        </m:r>
        <m:r>
          <m:t>0.76</m:t>
        </m:r>
      </m:oMath>
      <w:r>
        <w:t xml:space="preserve">,</w:t>
      </w:r>
      <w:r>
        <w:t xml:space="preserve"> </w:t>
      </w:r>
      <m:oMath>
        <m:sSubSup>
          <m:e>
            <m:r>
              <m:t>ρ</m:t>
            </m:r>
          </m:e>
          <m:sub>
            <m:r>
              <m:t>s</m:t>
            </m:r>
            <m:r>
              <m:t>p</m:t>
            </m:r>
            <m:r>
              <m:t>e</m:t>
            </m:r>
            <m:r>
              <m:t>a</m:t>
            </m:r>
            <m:r>
              <m:t>r</m:t>
            </m:r>
            <m:r>
              <m:t>m</m:t>
            </m:r>
            <m:r>
              <m:t>a</m:t>
            </m:r>
            <m:r>
              <m:t>n</m:t>
            </m:r>
          </m:sub>
          <m:sup>
            <m:sSub>
              <m:e>
                <m:r>
                  <m:t>L</m:t>
                </m:r>
              </m:e>
              <m:sub>
                <m:r>
                  <m:t>c</m:t>
                </m:r>
                <m:r>
                  <m:t>h</m:t>
                </m:r>
                <m:r>
                  <m:t>l</m:t>
                </m:r>
                <m:r>
                  <m:t>o</m:t>
                </m:r>
                <m:r>
                  <m:t>r</m:t>
                </m:r>
                <m:r>
                  <m:t>o</m:t>
                </m:r>
              </m:sub>
            </m:sSub>
          </m:sup>
        </m:sSubSup>
        <m:r>
          <m:t>=</m:t>
        </m:r>
        <m:r>
          <m:t>0.60</m:t>
        </m:r>
      </m:oMath>
      <w:r>
        <w:t xml:space="preserve">,</w:t>
      </w:r>
      <w:r>
        <w:t xml:space="preserve"> </w:t>
      </w:r>
      <m:oMath>
        <m:sSubSup>
          <m:e>
            <m:r>
              <m:t>ρ</m:t>
            </m:r>
          </m:e>
          <m:sub>
            <m:r>
              <m:t>s</m:t>
            </m:r>
            <m:r>
              <m:t>p</m:t>
            </m:r>
            <m:r>
              <m:t>e</m:t>
            </m:r>
            <m:r>
              <m:t>a</m:t>
            </m:r>
            <m:r>
              <m:t>r</m:t>
            </m:r>
            <m:r>
              <m:t>m</m:t>
            </m:r>
            <m:r>
              <m:t>a</m:t>
            </m:r>
            <m:r>
              <m:t>n</m:t>
            </m:r>
          </m:sub>
          <m:sup>
            <m:sSub>
              <m:e>
                <m:r>
                  <m:t>L</m:t>
                </m:r>
              </m:e>
              <m:sub>
                <m:r>
                  <m:t>t</m:t>
                </m:r>
                <m:r>
                  <m:t>o</m:t>
                </m:r>
                <m:r>
                  <m:t>u</m:t>
                </m:r>
                <m:r>
                  <m:t>g</m:t>
                </m:r>
                <m:r>
                  <m:t>h</m:t>
                </m:r>
                <m:r>
                  <m:t>n</m:t>
                </m:r>
                <m:r>
                  <m:t>e</m:t>
                </m:r>
                <m:r>
                  <m:t>s</m:t>
                </m:r>
                <m:r>
                  <m:t>s</m:t>
                </m:r>
              </m:sub>
            </m:sSub>
          </m:sup>
        </m:sSubSup>
        <m:r>
          <m:t>=</m:t>
        </m:r>
        <m:r>
          <m:t>−</m:t>
        </m:r>
        <m:r>
          <m:t>0.53</m:t>
        </m:r>
      </m:oMath>
      <w:r>
        <w:t xml:space="preserve">,</w:t>
      </w:r>
      <w:r>
        <w:t xml:space="preserve"> </w:t>
      </w:r>
      <m:oMath>
        <m:sSubSup>
          <m:e>
            <m:r>
              <m:t>ρ</m:t>
            </m:r>
          </m:e>
          <m:sub>
            <m:r>
              <m:t>s</m:t>
            </m:r>
            <m:r>
              <m:t>p</m:t>
            </m:r>
            <m:r>
              <m:t>e</m:t>
            </m:r>
            <m:r>
              <m:t>a</m:t>
            </m:r>
            <m:r>
              <m:t>r</m:t>
            </m:r>
            <m:r>
              <m:t>m</m:t>
            </m:r>
            <m:r>
              <m:t>a</m:t>
            </m:r>
            <m:r>
              <m:t>n</m:t>
            </m:r>
          </m:sub>
          <m:sup>
            <m:r>
              <m:t>S</m:t>
            </m:r>
            <m:r>
              <m:t>L</m:t>
            </m:r>
            <m:r>
              <m:t>A</m:t>
            </m:r>
          </m:sup>
        </m:sSubSup>
        <m:r>
          <m:t>=</m:t>
        </m:r>
        <m:r>
          <m:t>0.93</m:t>
        </m:r>
      </m:oMath>
      <w:r>
        <w:t xml:space="preserve">,</w:t>
      </w:r>
      <w:r>
        <w:t xml:space="preserve"> </w:t>
      </w:r>
      <m:oMath>
        <m:sSubSup>
          <m:e>
            <m:r>
              <m:t>ρ</m:t>
            </m:r>
          </m:e>
          <m:sub>
            <m:r>
              <m:t>s</m:t>
            </m:r>
            <m:r>
              <m:t>p</m:t>
            </m:r>
            <m:r>
              <m:t>e</m:t>
            </m:r>
            <m:r>
              <m:t>a</m:t>
            </m:r>
            <m:r>
              <m:t>r</m:t>
            </m:r>
            <m:r>
              <m:t>m</m:t>
            </m:r>
            <m:r>
              <m:t>a</m:t>
            </m:r>
            <m:r>
              <m:t>n</m:t>
            </m:r>
          </m:sub>
          <m:sup>
            <m:r>
              <m:t>W</m:t>
            </m:r>
            <m:r>
              <m:t>S</m:t>
            </m:r>
            <m:r>
              <m:t>G</m:t>
            </m:r>
          </m:sup>
        </m:sSubSup>
        <m:r>
          <m:t>=</m:t>
        </m:r>
        <m:r>
          <m:t>−</m:t>
        </m:r>
        <m:r>
          <m:t>0.75</m:t>
        </m:r>
      </m:oMath>
      <w:r>
        <w:t xml:space="preserve">,</w:t>
      </w:r>
      <w:r>
        <w:t xml:space="preserve"> </w:t>
      </w:r>
      <m:oMath>
        <m:sSubSup>
          <m:e>
            <m:r>
              <m:t>ρ</m:t>
            </m:r>
          </m:e>
          <m:sub>
            <m:r>
              <m:t>s</m:t>
            </m:r>
            <m:r>
              <m:t>p</m:t>
            </m:r>
            <m:r>
              <m:t>e</m:t>
            </m:r>
            <m:r>
              <m:t>a</m:t>
            </m:r>
            <m:r>
              <m:t>r</m:t>
            </m:r>
            <m:r>
              <m:t>m</m:t>
            </m:r>
            <m:r>
              <m:t>a</m:t>
            </m:r>
            <m:r>
              <m:t>n</m:t>
            </m:r>
          </m:sub>
          <m:sup>
            <m:r>
              <m:t>B</m:t>
            </m:r>
            <m:r>
              <m:t>a</m:t>
            </m:r>
            <m:r>
              <m:t>r</m:t>
            </m:r>
            <m:r>
              <m:t>k</m:t>
            </m:r>
            <m:r>
              <m:t>−</m:t>
            </m:r>
            <m:r>
              <m:t>t</m:t>
            </m:r>
            <m:r>
              <m:t>h</m:t>
            </m:r>
            <m:r>
              <m:t>i</m:t>
            </m:r>
            <m:r>
              <m:t>c</m:t>
            </m:r>
            <m:r>
              <m:t>k</m:t>
            </m:r>
            <m:r>
              <m:t>n</m:t>
            </m:r>
            <m:r>
              <m:t>e</m:t>
            </m:r>
            <m:r>
              <m:t>s</m:t>
            </m:r>
            <m:r>
              <m:t>s</m:t>
            </m:r>
          </m:sup>
        </m:sSubSup>
        <m:r>
          <m:t>=</m:t>
        </m:r>
        <m:r>
          <m:t>0.71</m:t>
        </m:r>
      </m:oMath>
      <w:r>
        <w:t xml:space="preserve">,</w:t>
      </w:r>
      <w:r>
        <w:t xml:space="preserve"> </w:t>
      </w:r>
      <m:oMath>
        <m:sSubSup>
          <m:e>
            <m:r>
              <m:t>ρ</m:t>
            </m:r>
          </m:e>
          <m:sub>
            <m:r>
              <m:t>s</m:t>
            </m:r>
            <m:r>
              <m:t>p</m:t>
            </m:r>
            <m:r>
              <m:t>e</m:t>
            </m:r>
            <m:r>
              <m:t>a</m:t>
            </m:r>
            <m:r>
              <m:t>r</m:t>
            </m:r>
            <m:r>
              <m:t>m</m:t>
            </m:r>
            <m:r>
              <m:t>a</m:t>
            </m:r>
            <m:r>
              <m:t>n</m:t>
            </m:r>
          </m:sub>
          <m:sup>
            <m:r>
              <m:t>H</m:t>
            </m:r>
            <m:r>
              <m:t>m</m:t>
            </m:r>
            <m:r>
              <m:t>a</m:t>
            </m:r>
            <m:r>
              <m:t>x</m:t>
            </m:r>
          </m:sup>
        </m:sSubSup>
        <m:r>
          <m:t>=</m:t>
        </m:r>
        <m:r>
          <m:t>−</m:t>
        </m:r>
        <m:r>
          <m:t>0.40</m:t>
        </m:r>
      </m:oMath>
      <w:r>
        <w:t xml:space="preserve">).</w:t>
      </w:r>
      <w:r>
        <w:t xml:space="preserve"> </w:t>
      </w:r>
      <w:r>
        <w:t xml:space="preserve">The proportions of the three lightest seed mass classes increased in all disturbed plots, and decreased after 30 years for the lightest class while it stabilized for the two other (Supp. Mat. - Figure S2).</w:t>
      </w:r>
    </w:p>
    <w:p>
      <w:pPr>
        <w:pStyle w:val="berschrift2"/>
      </w:pPr>
      <w:bookmarkStart w:id="32" w:name="communities-richness-and-evenness"/>
      <w:bookmarkEnd w:id="32"/>
      <w:r>
        <w:t xml:space="preserve">Communities richness and evenness</w:t>
      </w:r>
    </w:p>
    <w:p>
      <w:pPr>
        <w:pStyle w:val="FirstParagraph"/>
      </w:pPr>
      <w:r>
        <w:t xml:space="preserve">For undisturbed plots, taxonomic Richness and Evenness remained stable over the 30 years monitored.</w:t>
      </w:r>
      <w:r>
        <w:t xml:space="preserve"> </w:t>
      </w:r>
      <w:r>
        <w:t xml:space="preserve">In disturbed communities, after low disturbance intensity the taxonomic richness increased, reaching a maximum gain of 14 botanical genera (plot 3 from treatment 2). After intense disturbance the taxonomic richness followed a more complex trajectory, decreasing for ten years after disturbance before recovering to pre-disturbance values. The maximum richness loss or gain after disturbance was positively correlated to the disturbance intensity (</w:t>
      </w:r>
      <m:oMath>
        <m:sSubSup>
          <m:e>
            <m:r>
              <m:t>ρ</m:t>
            </m:r>
          </m:e>
          <m:sub>
            <m:r>
              <m:t>s</m:t>
            </m:r>
            <m:r>
              <m:t>p</m:t>
            </m:r>
            <m:r>
              <m:t>e</m:t>
            </m:r>
            <m:r>
              <m:t>a</m:t>
            </m:r>
            <m:r>
              <m:t>r</m:t>
            </m:r>
            <m:r>
              <m:t>m</m:t>
            </m:r>
            <m:r>
              <m:t>a</m:t>
            </m:r>
            <m:r>
              <m:t>n</m:t>
            </m:r>
          </m:sub>
          <m:sup>
            <m:r>
              <m:t>R</m:t>
            </m:r>
            <m:r>
              <m:t>i</m:t>
            </m:r>
            <m:r>
              <m:t>c</m:t>
            </m:r>
            <m:r>
              <m:t>h</m:t>
            </m:r>
            <m:r>
              <m:t>n</m:t>
            </m:r>
            <m:r>
              <m:t>e</m:t>
            </m:r>
            <m:r>
              <m:t>s</m:t>
            </m:r>
            <m:r>
              <m:t>s</m:t>
            </m:r>
          </m:sup>
        </m:sSubSup>
        <m:r>
          <m:t>=</m:t>
        </m:r>
        <m:r>
          <m:t>0.50</m:t>
        </m:r>
      </m:oMath>
      <w:r>
        <w:t xml:space="preserve">).</w:t>
      </w:r>
      <w:r>
        <w:t xml:space="preserve"> </w:t>
      </w:r>
      <w:r>
        <w:t xml:space="preserve">In all disturbed plots the taxonomic evenness first increased until a maximum reached after around 20 years. This maximum was positively correlated to the disturbance intensity (</w:t>
      </w:r>
      <m:oMath>
        <m:sSubSup>
          <m:e>
            <m:r>
              <m:t>ρ</m:t>
            </m:r>
          </m:e>
          <m:sub>
            <m:r>
              <m:t>s</m:t>
            </m:r>
            <m:r>
              <m:t>p</m:t>
            </m:r>
            <m:r>
              <m:t>e</m:t>
            </m:r>
            <m:r>
              <m:t>a</m:t>
            </m:r>
            <m:r>
              <m:t>r</m:t>
            </m:r>
            <m:r>
              <m:t>m</m:t>
            </m:r>
            <m:r>
              <m:t>a</m:t>
            </m:r>
            <m:r>
              <m:t>n</m:t>
            </m:r>
          </m:sub>
          <m:sup>
            <m:r>
              <m:t>E</m:t>
            </m:r>
            <m:r>
              <m:t>v</m:t>
            </m:r>
            <m:r>
              <m:t>e</m:t>
            </m:r>
            <m:r>
              <m:t>n</m:t>
            </m:r>
            <m:r>
              <m:t>n</m:t>
            </m:r>
            <m:r>
              <m:t>e</m:t>
            </m:r>
            <m:r>
              <m:t>s</m:t>
            </m:r>
            <m:r>
              <m:t>s</m:t>
            </m:r>
          </m:sup>
        </m:sSubSup>
        <m:r>
          <m:t>=</m:t>
        </m:r>
        <m:r>
          <m:t>0.77</m:t>
        </m:r>
      </m:oMath>
      <w:r>
        <w:t xml:space="preserve">).</w:t>
      </w:r>
      <w:r>
        <w:t xml:space="preserve"> </w:t>
      </w:r>
      <w:r>
        <w:t xml:space="preserve">The evenness then stabilized except for two T3 plots (plots 8 and 12) for which evenness kept increasing.</w:t>
      </w:r>
    </w:p>
    <w:p>
      <w:pPr>
        <w:pStyle w:val="Textkrper"/>
      </w:pPr>
      <w:r>
        <w:t xml:space="preserve">The plot 7 from treatment 1 displayed constantly outlying functional richness and evenness and was removed from the graphical representation for better readability.</w:t>
      </w:r>
      <w:r>
        <w:t xml:space="preserve"> </w:t>
      </w:r>
      <w:r>
        <w:t xml:space="preserve">In undisturbed plots both functional richness and evenness remained stable along the 30 years.</w:t>
      </w:r>
      <w:r>
        <w:t xml:space="preserve"> </w:t>
      </w:r>
      <w:r>
        <w:t xml:space="preserve">In disturbed plots, functional richness and evenness trajectories depended on the disturbance intensity with their maximum positively correlated to %AGB loss</w:t>
      </w:r>
      <w:r>
        <w:t xml:space="preserve"> </w:t>
      </w:r>
      <m:oMath>
        <m:sSubSup>
          <m:e>
            <m:r>
              <m:t>ρ</m:t>
            </m:r>
          </m:e>
          <m:sub>
            <m:r>
              <m:t>s</m:t>
            </m:r>
            <m:r>
              <m:t>p</m:t>
            </m:r>
            <m:r>
              <m:t>e</m:t>
            </m:r>
            <m:r>
              <m:t>a</m:t>
            </m:r>
            <m:r>
              <m:t>r</m:t>
            </m:r>
            <m:r>
              <m:t>m</m:t>
            </m:r>
            <m:r>
              <m:t>a</m:t>
            </m:r>
            <m:r>
              <m:t>n</m:t>
            </m:r>
          </m:sub>
          <m:sup>
            <m:r>
              <m:t>R</m:t>
            </m:r>
            <m:r>
              <m:t>i</m:t>
            </m:r>
            <m:r>
              <m:t>c</m:t>
            </m:r>
            <m:r>
              <m:t>h</m:t>
            </m:r>
            <m:r>
              <m:t>n</m:t>
            </m:r>
            <m:r>
              <m:t>e</m:t>
            </m:r>
            <m:r>
              <m:t>s</m:t>
            </m:r>
            <m:r>
              <m:t>s</m:t>
            </m:r>
          </m:sup>
        </m:sSubSup>
        <m:r>
          <m:t>=</m:t>
        </m:r>
        <m:r>
          <m:t>0.76</m:t>
        </m:r>
      </m:oMath>
      <w:r>
        <w:t xml:space="preserve"> </w:t>
      </w:r>
      <w:r>
        <w:t xml:space="preserve">and</w:t>
      </w:r>
      <w:r>
        <w:t xml:space="preserve"> </w:t>
      </w:r>
      <m:oMath>
        <m:sSubSup>
          <m:e>
            <m:r>
              <m:t>ρ</m:t>
            </m:r>
          </m:e>
          <m:sub>
            <m:r>
              <m:t>s</m:t>
            </m:r>
            <m:r>
              <m:t>p</m:t>
            </m:r>
            <m:r>
              <m:t>e</m:t>
            </m:r>
            <m:r>
              <m:t>a</m:t>
            </m:r>
            <m:r>
              <m:t>r</m:t>
            </m:r>
            <m:r>
              <m:t>m</m:t>
            </m:r>
            <m:r>
              <m:t>a</m:t>
            </m:r>
            <m:r>
              <m:t>n</m:t>
            </m:r>
          </m:sub>
          <m:sup>
            <m:r>
              <m:t>E</m:t>
            </m:r>
            <m:r>
              <m:t>v</m:t>
            </m:r>
            <m:r>
              <m:t>e</m:t>
            </m:r>
            <m:r>
              <m:t>n</m:t>
            </m:r>
            <m:r>
              <m:t>n</m:t>
            </m:r>
            <m:r>
              <m:t>e</m:t>
            </m:r>
            <m:r>
              <m:t>s</m:t>
            </m:r>
            <m:r>
              <m:t>s</m:t>
            </m:r>
          </m:sup>
        </m:sSubSup>
        <m:r>
          <m:t>=</m:t>
        </m:r>
        <m:r>
          <m:t>0.60</m:t>
        </m:r>
      </m:oMath>
      <w:r>
        <w:t xml:space="preserve">.</w:t>
      </w:r>
      <w:r>
        <w:t xml:space="preserve"> </w:t>
      </w:r>
      <w:r>
        <w:t xml:space="preserve">Functional richness and evenness displayed for low disturbance intensity a low but long-lasting increase up to a maximum reached after 20-25 years, and for high intensity, a fast but short increase followed after 10 years by a slow decrease towards the inital values.</w:t>
      </w:r>
    </w:p>
    <w:p>
      <w:pPr>
        <w:pStyle w:val="Textkrper"/>
      </w:pPr>
      <w:r>
        <w:t xml:space="preserve">The second-degree polynomial regressions between (i) the %AGB loss and (ii) taxonomic and functional richness and evenness after 10, 20 and 30 years best predicted the hump-shaped curve of the disturbance impact along the disturbance intensity gradient</w:t>
      </w:r>
      <w:r>
        <w:t xml:space="preserve"> </w:t>
      </w:r>
      <w:r>
        <w:t xml:space="preserve">??</w:t>
      </w:r>
      <w:r>
        <w:t xml:space="preserve">.</w:t>
      </w:r>
      <w:r>
        <w:t xml:space="preserve"> </w:t>
      </w:r>
      <w:r>
        <w:t xml:space="preserve">The relationship between the disturbance impact and its intensity was more markedly hump-shaped for the taxonomic richness than for the taxonomic evenness. For both functional richness and evenness the relationship was almost linear.</w:t>
      </w:r>
      <w:r>
        <w:t xml:space="preserve"> </w:t>
      </w:r>
      <w:r>
        <w:t xml:space="preserve">The regression model better predicted the functional richness and evenness (</w:t>
      </w:r>
      <m:oMath>
        <m:r>
          <m:t>0.55</m:t>
        </m:r>
        <m:r>
          <m:t>&lt;</m:t>
        </m:r>
        <m:sSubSup>
          <m:e>
            <m:r>
              <m:t>R</m:t>
            </m:r>
          </m:e>
          <m:sub>
            <m:r>
              <m:t>F</m:t>
            </m:r>
            <m:r>
              <m:t>u</m:t>
            </m:r>
            <m:r>
              <m:t>n</m:t>
            </m:r>
            <m:r>
              <m:t>c</m:t>
            </m:r>
            <m:r>
              <m:t>t</m:t>
            </m:r>
            <m:r>
              <m:t>i</m:t>
            </m:r>
            <m:r>
              <m:t>o</m:t>
            </m:r>
            <m:r>
              <m:t>n</m:t>
            </m:r>
            <m:r>
              <m:t>a</m:t>
            </m:r>
            <m:r>
              <m:t>l</m:t>
            </m:r>
            <m:r>
              <m:t>R</m:t>
            </m:r>
            <m:r>
              <m:t>i</m:t>
            </m:r>
            <m:r>
              <m:t>c</m:t>
            </m:r>
            <m:r>
              <m:t>h</m:t>
            </m:r>
            <m:r>
              <m:t>n</m:t>
            </m:r>
            <m:r>
              <m:t>e</m:t>
            </m:r>
            <m:r>
              <m:t>s</m:t>
            </m:r>
            <m:r>
              <m:t>s</m:t>
            </m:r>
          </m:sub>
          <m:sup>
            <m:r>
              <m:t>2</m:t>
            </m:r>
          </m:sup>
        </m:sSubSup>
        <m:r>
          <m:t>&lt;</m:t>
        </m:r>
        <m:r>
          <m:t>0.72</m:t>
        </m:r>
      </m:oMath>
      <w:r>
        <w:t xml:space="preserve">, and</w:t>
      </w:r>
      <w:r>
        <w:t xml:space="preserve"> </w:t>
      </w:r>
      <m:oMath>
        <m:r>
          <m:t>0.60</m:t>
        </m:r>
        <m:r>
          <m:t>&lt;</m:t>
        </m:r>
        <m:sSubSup>
          <m:e>
            <m:r>
              <m:t>R</m:t>
            </m:r>
          </m:e>
          <m:sub>
            <m:r>
              <m:t>F</m:t>
            </m:r>
            <m:r>
              <m:t>u</m:t>
            </m:r>
            <m:r>
              <m:t>n</m:t>
            </m:r>
            <m:r>
              <m:t>c</m:t>
            </m:r>
            <m:r>
              <m:t>t</m:t>
            </m:r>
            <m:r>
              <m:t>i</m:t>
            </m:r>
            <m:r>
              <m:t>o</m:t>
            </m:r>
            <m:r>
              <m:t>n</m:t>
            </m:r>
            <m:r>
              <m:t>a</m:t>
            </m:r>
            <m:r>
              <m:t>l</m:t>
            </m:r>
            <m:r>
              <m:t>E</m:t>
            </m:r>
            <m:r>
              <m:t>v</m:t>
            </m:r>
            <m:r>
              <m:t>e</m:t>
            </m:r>
            <m:r>
              <m:t>n</m:t>
            </m:r>
            <m:r>
              <m:t>n</m:t>
            </m:r>
            <m:r>
              <m:t>e</m:t>
            </m:r>
            <m:r>
              <m:t>s</m:t>
            </m:r>
            <m:r>
              <m:t>s</m:t>
            </m:r>
          </m:sub>
          <m:sup>
            <m:r>
              <m:t>2</m:t>
            </m:r>
          </m:sup>
        </m:sSubSup>
        <m:r>
          <m:t>&lt;</m:t>
        </m:r>
        <m:r>
          <m:t>0.81</m:t>
        </m:r>
      </m:oMath>
      <w:r>
        <w:t xml:space="preserve">) than the taxonomic richness and evenness (</w:t>
      </w:r>
      <m:oMath>
        <m:r>
          <m:t>0.21</m:t>
        </m:r>
        <m:r>
          <m:t>&lt;</m:t>
        </m:r>
        <m:sSubSup>
          <m:e>
            <m:r>
              <m:t>R</m:t>
            </m:r>
          </m:e>
          <m:sub>
            <m:r>
              <m:t>T</m:t>
            </m:r>
            <m:r>
              <m:t>a</m:t>
            </m:r>
            <m:r>
              <m:t>x</m:t>
            </m:r>
            <m:r>
              <m:t>o</m:t>
            </m:r>
            <m:r>
              <m:t>n</m:t>
            </m:r>
            <m:r>
              <m:t>o</m:t>
            </m:r>
            <m:r>
              <m:t>m</m:t>
            </m:r>
            <m:r>
              <m:t>i</m:t>
            </m:r>
            <m:r>
              <m:t>c</m:t>
            </m:r>
            <m:r>
              <m:t>R</m:t>
            </m:r>
            <m:r>
              <m:t>i</m:t>
            </m:r>
            <m:r>
              <m:t>c</m:t>
            </m:r>
            <m:r>
              <m:t>h</m:t>
            </m:r>
            <m:r>
              <m:t>n</m:t>
            </m:r>
            <m:r>
              <m:t>e</m:t>
            </m:r>
            <m:r>
              <m:t>s</m:t>
            </m:r>
            <m:r>
              <m:t>s</m:t>
            </m:r>
          </m:sub>
          <m:sup>
            <m:r>
              <m:t>2</m:t>
            </m:r>
          </m:sup>
        </m:sSubSup>
        <m:r>
          <m:t>&lt;</m:t>
        </m:r>
        <m:r>
          <m:t>0.4</m:t>
        </m:r>
      </m:oMath>
      <w:r>
        <w:t xml:space="preserve">, and</w:t>
      </w:r>
      <w:r>
        <w:t xml:space="preserve"> </w:t>
      </w:r>
      <m:oMath>
        <m:r>
          <m:t>−</m:t>
        </m:r>
        <m:r>
          <m:t>0.15</m:t>
        </m:r>
        <m:r>
          <m:t>&lt;</m:t>
        </m:r>
        <m:sSubSup>
          <m:e>
            <m:r>
              <m:t>R</m:t>
            </m:r>
          </m:e>
          <m:sub>
            <m:r>
              <m:t>T</m:t>
            </m:r>
            <m:r>
              <m:t>a</m:t>
            </m:r>
            <m:r>
              <m:t>x</m:t>
            </m:r>
            <m:r>
              <m:t>o</m:t>
            </m:r>
            <m:r>
              <m:t>n</m:t>
            </m:r>
            <m:r>
              <m:t>o</m:t>
            </m:r>
            <m:r>
              <m:t>m</m:t>
            </m:r>
            <m:r>
              <m:t>i</m:t>
            </m:r>
            <m:r>
              <m:t>c</m:t>
            </m:r>
            <m:r>
              <m:t>E</m:t>
            </m:r>
            <m:r>
              <m:t>v</m:t>
            </m:r>
            <m:r>
              <m:t>e</m:t>
            </m:r>
            <m:r>
              <m:t>n</m:t>
            </m:r>
            <m:r>
              <m:t>n</m:t>
            </m:r>
            <m:r>
              <m:t>e</m:t>
            </m:r>
            <m:r>
              <m:t>s</m:t>
            </m:r>
            <m:r>
              <m:t>s</m:t>
            </m:r>
          </m:sub>
          <m:sup>
            <m:r>
              <m:t>2</m:t>
            </m:r>
          </m:sup>
        </m:sSubSup>
        <m:r>
          <m:t>&lt;</m:t>
        </m:r>
        <m:r>
          <m:t>0.43</m:t>
        </m:r>
      </m:oMath>
      <w:r>
        <w:t xml:space="preserve"> </w:t>
      </w:r>
      <w:r>
        <w:t xml:space="preserve">respectively)</w:t>
      </w:r>
    </w:p>
    <w:p>
      <w:pPr>
        <w:pStyle w:val="berschrift2"/>
      </w:pPr>
      <w:bookmarkStart w:id="33" w:name="functional-redundancy"/>
      <w:bookmarkEnd w:id="33"/>
      <w:r>
        <w:t xml:space="preserve">Functional redundancy</w:t>
      </w:r>
    </w:p>
    <w:p>
      <w:pPr>
        <w:pStyle w:val="FirstParagraph"/>
      </w:pPr>
      <w:r>
        <w:t xml:space="preserve">All disturbed plots had lower functional redundancy than control plots and followed similar hump-shaped trajectories (</w:t>
      </w:r>
      <w:r>
        <w:t xml:space="preserve">??</w:t>
      </w:r>
      <w:r>
        <w:t xml:space="preserve">). The maximum redundancy loss was positively correlated with the disturbance intensity (</w:t>
      </w:r>
      <m:oMath>
        <m:sSub>
          <m:e>
            <m:r>
              <m:t>ρ</m:t>
            </m:r>
          </m:e>
          <m:sub>
            <m:r>
              <m:t>s</m:t>
            </m:r>
            <m:r>
              <m:t>p</m:t>
            </m:r>
            <m:r>
              <m:t>e</m:t>
            </m:r>
            <m:r>
              <m:t>a</m:t>
            </m:r>
            <m:r>
              <m:t>r</m:t>
            </m:r>
            <m:r>
              <m:t>m</m:t>
            </m:r>
            <m:r>
              <m:t>a</m:t>
            </m:r>
            <m:r>
              <m:t>n</m:t>
            </m:r>
          </m:sub>
        </m:sSub>
        <m:r>
          <m:t>=</m:t>
        </m:r>
        <m:r>
          <m:t>0.47</m:t>
        </m:r>
      </m:oMath>
      <w:r>
        <w:t xml:space="preserve">) and the initial value had not recovered for any disturbed communities after 30 years.</w:t>
      </w:r>
    </w:p>
    <w:p>
      <w:pPr>
        <w:pStyle w:val="berschrift1"/>
      </w:pPr>
      <w:bookmarkStart w:id="34" w:name="discussion"/>
      <w:bookmarkEnd w:id="34"/>
      <w:r>
        <w:t xml:space="preserve">Discussion</w:t>
      </w:r>
    </w:p>
    <w:p>
      <w:pPr>
        <w:pStyle w:val="berschrift2"/>
      </w:pPr>
      <w:bookmarkStart w:id="35" w:name="a-cyclic-recovery-of-community-composition"/>
      <w:bookmarkEnd w:id="35"/>
      <w:r>
        <w:t xml:space="preserve">A cyclic recovery of community composition</w:t>
      </w:r>
    </w:p>
    <w:p>
      <w:pPr>
        <w:pStyle w:val="FirstParagraph"/>
      </w:pPr>
      <w:r>
        <w:t xml:space="preserve">Communities taxonomic and functional composition appeared resilient, following similar hump-shaped trajectories starting to return towards pre-disturbance composition after 30 years.</w:t>
      </w:r>
    </w:p>
    <w:p>
      <w:pPr>
        <w:pStyle w:val="Textkrper"/>
      </w:pPr>
      <w:r>
        <w:t xml:space="preserve">The taxonomic differences among local communities, marked before disturbance by the distinct starting points on the NMDS axis 2, were maintained throughout recovery trajectories.</w:t>
      </w:r>
      <w:r>
        <w:t xml:space="preserve"> </w:t>
      </w:r>
      <w:r>
        <w:t xml:space="preserve">More than commonly thought, post-disturbance trajectories depended on community initial composition, that partly determined the pool of recruited species and constrained the trajectories towards the initial composition.</w:t>
      </w:r>
      <w:r>
        <w:t xml:space="preserve"> </w:t>
      </w:r>
      <w:r>
        <w:t xml:space="preserve">The high resilience of communities taxonomy revealed that species not belonging to the pre-disturbance community were hardly recruited because of the commonness of dispersal limitation among tropical tree species</w:t>
      </w:r>
      <w:r>
        <w:t xml:space="preserve"> </w:t>
      </w:r>
      <w:r>
        <w:t xml:space="preserve">(Svenning &amp; Wright, 2005)</w:t>
      </w:r>
      <w:r>
        <w:t xml:space="preserve">.</w:t>
      </w:r>
    </w:p>
    <w:p>
      <w:pPr>
        <w:pStyle w:val="Textkrper"/>
      </w:pPr>
      <w:r>
        <w:t xml:space="preserve">Conversely, disturbed communities followed functional trajectories that are highly similar in terms of functional composition.</w:t>
      </w:r>
      <w:r>
        <w:t xml:space="preserve"> </w:t>
      </w:r>
      <w:r>
        <w:t xml:space="preserve">As pre-disturbance surviving trees mirror the initial community</w:t>
      </w:r>
      <w:r>
        <w:t xml:space="preserve"> </w:t>
      </w:r>
      <w:r>
        <w:t xml:space="preserve">(Hérault &amp; Piponiot, 2018)</w:t>
      </w:r>
      <w:r>
        <w:t xml:space="preserve">, changes in functional composition relied upon the recruitment of species or functional types that were infrequent or absent before disturbance.</w:t>
      </w:r>
      <w:r>
        <w:t xml:space="preserve"> </w:t>
      </w:r>
      <w:r>
        <w:t xml:space="preserve">Competitive pioneers became dominant in filling the environmental niches of high availability of light, space and nutrients vacated by the disturbance.</w:t>
      </w:r>
      <w:r>
        <w:t xml:space="preserve"> </w:t>
      </w:r>
      <w:r>
        <w:t xml:space="preserve">The recruitment of pioneers changed community functional composition in the same way for all disturbance intensity towards more resource-acquisitive strategies, moving community functional composition right along the first axis in Figure</w:t>
      </w:r>
      <w:r>
        <w:t xml:space="preserve"> </w:t>
      </w:r>
      <w:r>
        <w:t xml:space="preserve">??</w:t>
      </w:r>
      <w:r>
        <w:t xml:space="preserve"> </w:t>
      </w:r>
      <w:r>
        <w:t xml:space="preserve">(Reich, 2014; Westoby, 1998; Wright et al., 2004)</w:t>
      </w:r>
      <w:r>
        <w:t xml:space="preserve">.</w:t>
      </w:r>
      <w:r>
        <w:t xml:space="preserve"> </w:t>
      </w:r>
      <w:r>
        <w:t xml:space="preserve">Thereafter long-lived, more resistant and shade-tolerant species excluded the first established pioneers and started the recovery of pre-disturbance functional composition, moving similarly community functional composition left along the first axis and upward along the second axis in Figure</w:t>
      </w:r>
      <w:r>
        <w:t xml:space="preserve"> </w:t>
      </w:r>
      <w:r>
        <w:t xml:space="preserve">??</w:t>
      </w:r>
      <w:r>
        <w:t xml:space="preserve">.</w:t>
      </w:r>
    </w:p>
    <w:p>
      <w:pPr>
        <w:pStyle w:val="Textkrper"/>
      </w:pPr>
      <w:r>
        <w:t xml:space="preserve">These trajectories provided empirical support to the hypothesis that community assembly is both deterministic and historically convergent at different levels of community organization.</w:t>
      </w:r>
      <w:r>
        <w:t xml:space="preserve"> </w:t>
      </w:r>
      <w:r>
        <w:t xml:space="preserve">Deterministic, trait-based processes drove community convergence in functional composition, while at the same time dispersal limitation maintained their divergence in taxonomic composition</w:t>
      </w:r>
      <w:r>
        <w:t xml:space="preserve"> </w:t>
      </w:r>
      <w:r>
        <w:t xml:space="preserve">(Fukami, Bezemer, Mortimer, &amp; Van Der Putten, 2005)</w:t>
      </w:r>
      <w:r>
        <w:t xml:space="preserve">.</w:t>
      </w:r>
    </w:p>
    <w:p>
      <w:pPr>
        <w:pStyle w:val="berschrift2"/>
      </w:pPr>
      <w:bookmarkStart w:id="36" w:name="another-perspective-on-the-intermediate-disturbance-hypothesis"/>
      <w:bookmarkEnd w:id="36"/>
      <w:r>
        <w:t xml:space="preserve">Another perspective on the intermediate disturbance hypothesis</w:t>
      </w:r>
    </w:p>
    <w:p>
      <w:pPr>
        <w:pStyle w:val="FirstParagraph"/>
      </w:pPr>
      <w:r>
        <w:t xml:space="preserve">The IDH well predicted well the disturbance impact on community taxonomic richness, enhanced until an intensity threshold (20-25% AGB loss), and to some extent on taxonomic evenness, somewhat decoupled from the disturbance intensity as already observed in the Guiana Shield</w:t>
      </w:r>
      <w:r>
        <w:t xml:space="preserve"> </w:t>
      </w:r>
      <w:r>
        <w:t xml:space="preserve">(Baraloto et al., 2012)</w:t>
      </w:r>
      <w:r>
        <w:t xml:space="preserve"> </w:t>
      </w:r>
      <w:r>
        <w:t xml:space="preserve">and in Bornean tropical forests</w:t>
      </w:r>
      <w:r>
        <w:t xml:space="preserve"> </w:t>
      </w:r>
      <w:r>
        <w:t xml:space="preserve">(Cannon, 1998)</w:t>
      </w:r>
      <w:r>
        <w:t xml:space="preserve">.</w:t>
      </w:r>
      <w:r>
        <w:t xml:space="preserve"> </w:t>
      </w:r>
      <w:r>
        <w:t xml:space="preserve">The disturbance intensity determined the balance in the community between pre-disturbance surviving trees and those recruited afterward.</w:t>
      </w:r>
      <w:r>
        <w:t xml:space="preserve"> </w:t>
      </w:r>
      <w:r>
        <w:t xml:space="preserve">The pool of true pioneer species specifically recruited after disturbance is restricted in the Guiana Shield to a few common genera (e.g. Cecropia spp., Vismia spp.)</w:t>
      </w:r>
      <w:r>
        <w:t xml:space="preserve"> </w:t>
      </w:r>
      <w:r>
        <w:t xml:space="preserve">(Guitet et al., 2018)</w:t>
      </w:r>
      <w:r>
        <w:t xml:space="preserve">.</w:t>
      </w:r>
      <w:r>
        <w:t xml:space="preserve"> </w:t>
      </w:r>
      <w:r>
        <w:t xml:space="preserve">Below the intensity threshold the size of the surviving community maintained the pre-disturbance high taxonomic richness while the recruitment of pioneers, infrequent or absent before disturbance, increased both community taxonomic richness and evenness.</w:t>
      </w:r>
      <w:r>
        <w:t xml:space="preserve"> </w:t>
      </w:r>
      <w:r>
        <w:t xml:space="preserve">Beyond the intensity threshold, the disturbance decreased the taxonomic richness of surviving trees which was not offset by the enrichment of pioneers, so that the overall community taxonomic richness decreased according to the disturbance intensity</w:t>
      </w:r>
      <w:r>
        <w:t xml:space="preserve"> </w:t>
      </w:r>
      <w:r>
        <w:t xml:space="preserve">(J. F. Molino &amp; Sabatier, 2001)</w:t>
      </w:r>
      <w:r>
        <w:t xml:space="preserve">.</w:t>
      </w:r>
      <w:r>
        <w:t xml:space="preserve"> </w:t>
      </w:r>
      <w:r>
        <w:t xml:space="preserve">For community taxonomic evenness the disturbance impact was similar but slighter, as the evenness is less sensitive to the loss of rare species.</w:t>
      </w:r>
      <w:r>
        <w:t xml:space="preserve"> </w:t>
      </w:r>
      <w:r>
        <w:t xml:space="preserve">Taxonomic evenness rather represented the increasing dominance of pionneers that balanced the usual hyper-dominance of a few species in tropical forests below the intensity threshold, thus increasing community overall evenness up to the intensity threshold beyond which pioneers became in turn highly dominant and decreased the overall evenness</w:t>
      </w:r>
      <w:r>
        <w:t xml:space="preserve"> </w:t>
      </w:r>
      <w:r>
        <w:t xml:space="preserve">(Baraloto et al., 2012)</w:t>
      </w:r>
      <w:r>
        <w:t xml:space="preserve">.</w:t>
      </w:r>
    </w:p>
    <w:p>
      <w:pPr>
        <w:pStyle w:val="Textkrper"/>
      </w:pPr>
      <w:r>
        <w:t xml:space="preserve">Conversely the IDH was disproved regarding the disturbance impact on community functional richness and evenness.</w:t>
      </w:r>
      <w:r>
        <w:t xml:space="preserve"> </w:t>
      </w:r>
      <w:r>
        <w:t xml:space="preserve">Irrespective of the disturbance intensity the recruitment of pionneers, functionally highly different from the composition of pre-disturbance community, increased both community functional richness and eveness.</w:t>
      </w:r>
    </w:p>
    <w:p>
      <w:pPr>
        <w:pStyle w:val="Textkrper"/>
      </w:pPr>
      <w:r>
        <w:t xml:space="preserve">Along time, taxonomic richness trajectories of all disturbed communities first dropped similarly, following the species loss due to disturbance, and then displayed a species gain depending on the disturbance intensity.</w:t>
      </w:r>
      <w:r>
        <w:t xml:space="preserve"> </w:t>
      </w:r>
      <w:r>
        <w:t xml:space="preserve">Up to an intensity threshold, the species gain was all the more significant that the disturbance intensity increased, with the establishment of long-lived pioneers enhancing community taxonomic richness and evenness in the long term.</w:t>
      </w:r>
      <w:r>
        <w:t xml:space="preserve"> </w:t>
      </w:r>
      <w:r>
        <w:t xml:space="preserve">These long-lived pionneers, functionally quite different from the functional composition, entailed as well a progressive and long-lasting increase of the functional richness and evenness</w:t>
      </w:r>
      <w:r>
        <w:t xml:space="preserve"> </w:t>
      </w:r>
      <w:r>
        <w:t xml:space="preserve">(Denslow, 1980; J. F. Molino &amp; Sabatier, 2001)</w:t>
      </w:r>
      <w:r>
        <w:t xml:space="preserve">.</w:t>
      </w:r>
      <w:r>
        <w:t xml:space="preserve"> </w:t>
      </w:r>
      <w:r>
        <w:t xml:space="preserve">Beyond an intensity threshold, though, a few short-lived pioneers occupied the vacated environmental space and prevented the establishment of other species.</w:t>
      </w:r>
      <w:r>
        <w:t xml:space="preserve"> </w:t>
      </w:r>
      <w:r>
        <w:t xml:space="preserve">These short-lived pioneers were functionally very different from the pre-disturbance community and entailed a rapid and significant increase of functional richness en evenness.</w:t>
      </w:r>
      <w:r>
        <w:t xml:space="preserve"> </w:t>
      </w:r>
      <w:r>
        <w:t xml:space="preserve">Already after 10 years, though, short-lived pioneers started to decline and the functional richness and evenness decreased.</w:t>
      </w:r>
      <w:r>
        <w:t xml:space="preserve"> </w:t>
      </w:r>
      <w:r>
        <w:t xml:space="preserve">Likely this decrease will be followed by the establishment of long-lasting pioneers, and by the time they recruit we expect the taxonomic and functional trajectories to catch up with those observed after intermediate disturbance</w:t>
      </w:r>
      <w:r>
        <w:t xml:space="preserve"> </w:t>
      </w:r>
      <w:r>
        <w:t xml:space="preserve">(L. R. Walker &amp; Moral, 2009)</w:t>
      </w:r>
      <w:r>
        <w:t xml:space="preserve">.</w:t>
      </w:r>
    </w:p>
    <w:p>
      <w:pPr>
        <w:pStyle w:val="berschrift2"/>
      </w:pPr>
      <w:bookmarkStart w:id="37" w:name="the-functional-redundancy-key-of-community-resilience"/>
      <w:bookmarkEnd w:id="37"/>
      <w:r>
        <w:t xml:space="preserve">The functional redundancy, key of community resilience</w:t>
      </w:r>
    </w:p>
    <w:p>
      <w:pPr>
        <w:pStyle w:val="FirstParagraph"/>
      </w:pPr>
      <w:r>
        <w:t xml:space="preserve">For 15 years the species loss during disturbance, determined by the disturbance intensity, commensurately decreased the functional redundancy within the pre-disturbance functional space.</w:t>
      </w:r>
      <w:r>
        <w:t xml:space="preserve"> </w:t>
      </w:r>
      <w:r>
        <w:t xml:space="preserve">The redundancy decrease was not compensated in the first place as the first recruited pionneers were functionally different from the pre-disturbance functional composition.</w:t>
      </w:r>
      <w:r>
        <w:t xml:space="preserve"> </w:t>
      </w:r>
      <w:r>
        <w:t xml:space="preserve">Progressively though, first established species were replaced by more competitive long-lived pionneers or late-successional species resembling more the pre-disturbance functional composition and restoring the functional redundancy.</w:t>
      </w:r>
      <w:r>
        <w:t xml:space="preserve"> </w:t>
      </w:r>
      <w:r>
        <w:t xml:space="preserve">This replacement was stochastic and followed the lottery recruitment rules, implying a recruitment eased for the first recruited species but then increasingly hampered by the emergence of interspecific competition</w:t>
      </w:r>
      <w:r>
        <w:t xml:space="preserve"> </w:t>
      </w:r>
      <w:r>
        <w:t xml:space="preserve">(Busing &amp; Brokaw, 2002)</w:t>
      </w:r>
      <w:r>
        <w:t xml:space="preserve">.</w:t>
      </w:r>
      <w:r>
        <w:t xml:space="preserve"> </w:t>
      </w:r>
      <w:r>
        <w:t xml:space="preserve">Along time the recovery of infrequent species was increasingly slow, so that the time for the full recovery of the functional redundancy, in some communities just initiated after 30 years, was extremely difficult to estimate</w:t>
      </w:r>
      <w:r>
        <w:t xml:space="preserve"> </w:t>
      </w:r>
      <w:r>
        <w:t xml:space="preserve">(Díaz et al., 2005; Elmqvist et al., 2003)</w:t>
      </w:r>
      <w:r>
        <w:t xml:space="preserve">.</w:t>
      </w:r>
    </w:p>
    <w:p>
      <w:pPr>
        <w:pStyle w:val="Textkrper"/>
      </w:pPr>
      <w:r>
        <w:t xml:space="preserve">The long-term impact of disturbance on community functional redundancy meant a lower resilience of the pre-disturbance communities, with higher chances to see the persistence of disturbance-specific species at the expense of late-successional ones</w:t>
      </w:r>
      <w:r>
        <w:t xml:space="preserve"> </w:t>
      </w:r>
      <w:r>
        <w:t xml:space="preserve">(Haddad et al., 2008)</w:t>
      </w:r>
      <w:r>
        <w:t xml:space="preserve">.</w:t>
      </w:r>
      <w:r>
        <w:t xml:space="preserve"> </w:t>
      </w:r>
      <w:r>
        <w:t xml:space="preserve">Besides, the long-term recovery of infrequent species increases the risks to loose cornerstone species, with unexpected ecological consequences</w:t>
      </w:r>
      <w:r>
        <w:t xml:space="preserve"> </w:t>
      </w:r>
      <w:r>
        <w:t xml:space="preserve">(Chazdon, 2003; Díaz et al., 2005; Jones, Lawton, &amp; Shachak, 1994)</w:t>
      </w:r>
      <w:r>
        <w:t xml:space="preserve">.</w:t>
      </w:r>
      <w:r>
        <w:t xml:space="preserve"> </w:t>
      </w:r>
      <w:r>
        <w:t xml:space="preserve">Apart from the functional characteristics considered here, infrequent species might indeed have unique functions in the ecosystem or be a key for some fauna</w:t>
      </w:r>
      <w:r>
        <w:t xml:space="preserve"> </w:t>
      </w:r>
      <w:r>
        <w:t xml:space="preserve">(Schleuning et al., 2016)</w:t>
      </w:r>
      <w:r>
        <w:t xml:space="preserve">.</w:t>
      </w:r>
    </w:p>
    <w:p>
      <w:pPr>
        <w:pStyle w:val="berschrift1"/>
      </w:pPr>
      <w:bookmarkStart w:id="38" w:name="conclusions"/>
      <w:bookmarkEnd w:id="38"/>
      <w:r>
        <w:t xml:space="preserve">Conclusions</w:t>
      </w:r>
    </w:p>
    <w:p>
      <w:pPr>
        <w:pStyle w:val="FirstParagraph"/>
      </w:pPr>
      <w:r>
        <w:t xml:space="preserve">Our study revealed community recovery through the combination of deterministic processes driving their convergence in functional composition, and dispersal limitation maintaining their divergence in taxonomic composition.</w:t>
      </w:r>
      <w:r>
        <w:t xml:space="preserve"> </w:t>
      </w:r>
      <w:r>
        <w:t xml:space="preserve">The IDH was validated for community taxonomic richness and, to some extent, taxonomic evenness but disproved regarding community functional richness and evennes that were enhanced for any disturbance intensity by the high functional differences of pioneers compared to late-successional functoinal composition.</w:t>
      </w:r>
      <w:r>
        <w:t xml:space="preserve"> </w:t>
      </w:r>
      <w:r>
        <w:t xml:space="preserve">The IDH was translated in time by the recruitment, beyond an intensity threshold, of short-lived pionneers that prevented in the first times the establishment of more diverse long-lived pionneers, recruited otherwise below the intensity threshold.</w:t>
      </w:r>
      <w:r>
        <w:t xml:space="preserve"> </w:t>
      </w:r>
      <w:r>
        <w:t xml:space="preserve">The resilience of tropical forests proved consistent although several decades-long.</w:t>
      </w:r>
      <w:r>
        <w:t xml:space="preserve"> </w:t>
      </w:r>
      <w:r>
        <w:t xml:space="preserve">Still, the disturbance impact on communities redundancy cautioned against the risks of infrequent species loss and the persistence of disturbance-specific communities</w:t>
      </w:r>
      <w:r>
        <w:t xml:space="preserve"> </w:t>
      </w:r>
      <w:r>
        <w:t xml:space="preserve">(Hérault &amp; Piponiot, 2018)</w:t>
      </w:r>
      <w:r>
        <w:t xml:space="preserve">.</w:t>
      </w:r>
    </w:p>
    <w:p>
      <w:pPr>
        <w:pStyle w:val="berschrift1"/>
      </w:pPr>
      <w:bookmarkStart w:id="39" w:name="references"/>
      <w:bookmarkEnd w:id="39"/>
      <w:r>
        <w:t xml:space="preserve">References</w:t>
      </w:r>
    </w:p>
    <w:p>
      <w:pPr>
        <w:pStyle w:val="FirstParagraph"/>
      </w:pPr>
      <w:r>
        <w:t xml:space="preserve"> </w:t>
      </w:r>
    </w:p>
    <w:p>
      <w:pPr>
        <w:pStyle w:val="Textkrper"/>
      </w:pPr>
      <w:r>
        <w:t xml:space="preserve">Anderson-Teixeira, K. J., Miller, A. D., Mohan, J. E., Hudiburg, T. W., Duval, B. D., &amp; DeLucia, E. H. (2013). Altered dynamics of forest recovery under a changing climate.</w:t>
      </w:r>
      <w:r>
        <w:t xml:space="preserve"> </w:t>
      </w:r>
      <w:r>
        <w:rPr>
          <w:i/>
        </w:rPr>
        <w:t xml:space="preserve">Global Change Biology</w:t>
      </w:r>
      <w:r>
        <w:t xml:space="preserve">,</w:t>
      </w:r>
      <w:r>
        <w:t xml:space="preserve"> </w:t>
      </w:r>
      <w:r>
        <w:rPr>
          <w:i/>
        </w:rPr>
        <w:t xml:space="preserve">19</w:t>
      </w:r>
      <w:r>
        <w:t xml:space="preserve">(7), 2001–2021. doi:</w:t>
      </w:r>
      <w:hyperlink r:id="rId40">
        <w:r>
          <w:rPr>
            <w:rStyle w:val="Hyperlink"/>
          </w:rPr>
          <w:t xml:space="preserve">10.1111/gcb.12194</w:t>
        </w:r>
      </w:hyperlink>
    </w:p>
    <w:p>
      <w:pPr>
        <w:pStyle w:val="Textkrper"/>
      </w:pPr>
      <w:r>
        <w:t xml:space="preserve">Aubry-Kientz, M., Hérault, B., Ayotte-Trépanier, C., Baraloto, C., &amp; Rossi, V. (2013). Toward Trait-Based Mortality Models for Tropical Forests.</w:t>
      </w:r>
      <w:r>
        <w:t xml:space="preserve"> </w:t>
      </w:r>
      <w:r>
        <w:rPr>
          <w:i/>
        </w:rPr>
        <w:t xml:space="preserve">PLoS ONE</w:t>
      </w:r>
      <w:r>
        <w:t xml:space="preserve">,</w:t>
      </w:r>
      <w:r>
        <w:t xml:space="preserve"> </w:t>
      </w:r>
      <w:r>
        <w:rPr>
          <w:i/>
        </w:rPr>
        <w:t xml:space="preserve">8</w:t>
      </w:r>
      <w:r>
        <w:t xml:space="preserve">(5). doi:</w:t>
      </w:r>
      <w:hyperlink r:id="rId41">
        <w:r>
          <w:rPr>
            <w:rStyle w:val="Hyperlink"/>
          </w:rPr>
          <w:t xml:space="preserve">10.1371/journal.pone.0063678</w:t>
        </w:r>
      </w:hyperlink>
    </w:p>
    <w:p>
      <w:pPr>
        <w:pStyle w:val="Textkrper"/>
      </w:pPr>
      <w:r>
        <w:t xml:space="preserve">Baraloto, C., Hérault, B., Paine, C. E. T., Massot, H., Blanc, L., Bonal, D., … Sabatier, D. (2012). Contrasting taxonomic and functional responses of a tropical tree community to selective logging.</w:t>
      </w:r>
      <w:r>
        <w:t xml:space="preserve"> </w:t>
      </w:r>
      <w:r>
        <w:rPr>
          <w:i/>
        </w:rPr>
        <w:t xml:space="preserve">Journal of Applied Ecology</w:t>
      </w:r>
      <w:r>
        <w:t xml:space="preserve">,</w:t>
      </w:r>
      <w:r>
        <w:t xml:space="preserve"> </w:t>
      </w:r>
      <w:r>
        <w:rPr>
          <w:i/>
        </w:rPr>
        <w:t xml:space="preserve">49</w:t>
      </w:r>
      <w:r>
        <w:t xml:space="preserve">(4), 861–870. doi:</w:t>
      </w:r>
      <w:hyperlink r:id="rId42">
        <w:r>
          <w:rPr>
            <w:rStyle w:val="Hyperlink"/>
          </w:rPr>
          <w:t xml:space="preserve">10.1111/j.1365-2664.2012.02164.x</w:t>
        </w:r>
      </w:hyperlink>
    </w:p>
    <w:p>
      <w:pPr>
        <w:pStyle w:val="Textkrper"/>
      </w:pPr>
      <w:r>
        <w:t xml:space="preserve">Bellwood, D. R., Wainwright, P., Fulton, C., &amp; Hoey, A. (2006). Functional versatility supports coral reef biodiversity.</w:t>
      </w:r>
      <w:r>
        <w:t xml:space="preserve"> </w:t>
      </w:r>
      <w:r>
        <w:rPr>
          <w:i/>
        </w:rPr>
        <w:t xml:space="preserve">Proceedings of the Royal Society B: Biological Sciences</w:t>
      </w:r>
      <w:r>
        <w:t xml:space="preserve">,</w:t>
      </w:r>
      <w:r>
        <w:t xml:space="preserve"> </w:t>
      </w:r>
      <w:r>
        <w:rPr>
          <w:i/>
        </w:rPr>
        <w:t xml:space="preserve">273</w:t>
      </w:r>
      <w:r>
        <w:t xml:space="preserve">(1582), 101–107. doi:</w:t>
      </w:r>
      <w:hyperlink r:id="rId43">
        <w:r>
          <w:rPr>
            <w:rStyle w:val="Hyperlink"/>
          </w:rPr>
          <w:t xml:space="preserve">10.1098/rspb.2005.3276</w:t>
        </w:r>
      </w:hyperlink>
    </w:p>
    <w:p>
      <w:pPr>
        <w:pStyle w:val="Textkrper"/>
      </w:pPr>
      <w:r>
        <w:t xml:space="preserve">Busing, R. T., &amp; Brokaw, N. (2002). Tree species diversity in temperate and tropical forest gaps: The role of lottery recruitment.</w:t>
      </w:r>
      <w:r>
        <w:t xml:space="preserve"> </w:t>
      </w:r>
      <w:r>
        <w:rPr>
          <w:i/>
        </w:rPr>
        <w:t xml:space="preserve">Folia Geobotanica</w:t>
      </w:r>
      <w:r>
        <w:t xml:space="preserve">,</w:t>
      </w:r>
      <w:r>
        <w:t xml:space="preserve"> </w:t>
      </w:r>
      <w:r>
        <w:rPr>
          <w:i/>
        </w:rPr>
        <w:t xml:space="preserve">37</w:t>
      </w:r>
      <w:r>
        <w:t xml:space="preserve">(1), 33–43.</w:t>
      </w:r>
    </w:p>
    <w:p>
      <w:pPr>
        <w:pStyle w:val="Textkrper"/>
      </w:pPr>
      <w:r>
        <w:t xml:space="preserve">Cannon, C. H. (1998). Tree Species Diversity in Commercially Logged Bornean Rainforest.</w:t>
      </w:r>
      <w:r>
        <w:t xml:space="preserve"> </w:t>
      </w:r>
      <w:r>
        <w:rPr>
          <w:i/>
        </w:rPr>
        <w:t xml:space="preserve">Science</w:t>
      </w:r>
      <w:r>
        <w:t xml:space="preserve">,</w:t>
      </w:r>
      <w:r>
        <w:t xml:space="preserve"> </w:t>
      </w:r>
      <w:r>
        <w:rPr>
          <w:i/>
        </w:rPr>
        <w:t xml:space="preserve">281</w:t>
      </w:r>
      <w:r>
        <w:t xml:space="preserve">(5381), 1366–1368. doi:</w:t>
      </w:r>
      <w:hyperlink r:id="rId44">
        <w:r>
          <w:rPr>
            <w:rStyle w:val="Hyperlink"/>
          </w:rPr>
          <w:t xml:space="preserve">10.1126/science.281.5381.1366</w:t>
        </w:r>
      </w:hyperlink>
    </w:p>
    <w:p>
      <w:pPr>
        <w:pStyle w:val="Textkrper"/>
      </w:pPr>
      <w:r>
        <w:t xml:space="preserve">Carmona, C. P., Bello, F. de, Mason, N. W., &amp; Lepš, J. (2016). Traits Without Borders: Integrating Functional Diversity Across Scales.</w:t>
      </w:r>
      <w:r>
        <w:t xml:space="preserve"> </w:t>
      </w:r>
      <w:r>
        <w:rPr>
          <w:i/>
        </w:rPr>
        <w:t xml:space="preserve">Trends in Ecology and Evolution</w:t>
      </w:r>
      <w:r>
        <w:t xml:space="preserve">,</w:t>
      </w:r>
      <w:r>
        <w:t xml:space="preserve"> </w:t>
      </w:r>
      <w:r>
        <w:rPr>
          <w:i/>
        </w:rPr>
        <w:t xml:space="preserve">31</w:t>
      </w:r>
      <w:r>
        <w:t xml:space="preserve">(5), 382–394. doi:</w:t>
      </w:r>
      <w:hyperlink r:id="rId45">
        <w:r>
          <w:rPr>
            <w:rStyle w:val="Hyperlink"/>
          </w:rPr>
          <w:t xml:space="preserve">10.1016/j.tree.2016.02.003</w:t>
        </w:r>
      </w:hyperlink>
    </w:p>
    <w:p>
      <w:pPr>
        <w:pStyle w:val="Textkrper"/>
      </w:pPr>
      <w:r>
        <w:t xml:space="preserve">Chaudhary, A., Burivalova, Z., Koh, L. P., &amp; Hellweg, S. (2016). Impact of Forest Management on Species Richness: Global Meta-Analysis and Economic Trade-Offs.</w:t>
      </w:r>
      <w:r>
        <w:t xml:space="preserve"> </w:t>
      </w:r>
      <w:r>
        <w:rPr>
          <w:i/>
        </w:rPr>
        <w:t xml:space="preserve">Scientific Reports</w:t>
      </w:r>
      <w:r>
        <w:t xml:space="preserve">,</w:t>
      </w:r>
      <w:r>
        <w:t xml:space="preserve"> </w:t>
      </w:r>
      <w:r>
        <w:rPr>
          <w:i/>
        </w:rPr>
        <w:t xml:space="preserve">6</w:t>
      </w:r>
      <w:r>
        <w:t xml:space="preserve">, 1–10. doi:</w:t>
      </w:r>
      <w:hyperlink r:id="rId46">
        <w:r>
          <w:rPr>
            <w:rStyle w:val="Hyperlink"/>
          </w:rPr>
          <w:t xml:space="preserve">10.1038/srep23954</w:t>
        </w:r>
      </w:hyperlink>
    </w:p>
    <w:p>
      <w:pPr>
        <w:pStyle w:val="Textkrper"/>
      </w:pPr>
      <w:r>
        <w:t xml:space="preserve">Chave, J., Coomes, D., Jansen, S., Lewis, S. L., Swenson, N. G., &amp; Zanne, A. E. (2009). Towards a worldwide wood economics spectrum.</w:t>
      </w:r>
      <w:r>
        <w:t xml:space="preserve"> </w:t>
      </w:r>
      <w:r>
        <w:rPr>
          <w:i/>
        </w:rPr>
        <w:t xml:space="preserve">Ecology Letters</w:t>
      </w:r>
      <w:r>
        <w:t xml:space="preserve">,</w:t>
      </w:r>
      <w:r>
        <w:t xml:space="preserve"> </w:t>
      </w:r>
      <w:r>
        <w:rPr>
          <w:i/>
        </w:rPr>
        <w:t xml:space="preserve">12</w:t>
      </w:r>
      <w:r>
        <w:t xml:space="preserve">, 351–366. doi:</w:t>
      </w:r>
      <w:hyperlink r:id="rId47">
        <w:r>
          <w:rPr>
            <w:rStyle w:val="Hyperlink"/>
          </w:rPr>
          <w:t xml:space="preserve">10.1111/j.1461-0248.2009.01285.x</w:t>
        </w:r>
      </w:hyperlink>
    </w:p>
    <w:p>
      <w:pPr>
        <w:pStyle w:val="Textkrper"/>
      </w:pPr>
      <w:r>
        <w:t xml:space="preserve">Chazdon, R. L. (2003). Tropical forest recovery: legacies of human impact and natural disturbances.</w:t>
      </w:r>
      <w:r>
        <w:t xml:space="preserve"> </w:t>
      </w:r>
      <w:r>
        <w:rPr>
          <w:i/>
        </w:rPr>
        <w:t xml:space="preserve">Perspectives in Plant Ecology, Evolution and Systematics</w:t>
      </w:r>
      <w:r>
        <w:t xml:space="preserve">,</w:t>
      </w:r>
      <w:r>
        <w:t xml:space="preserve"> </w:t>
      </w:r>
      <w:r>
        <w:rPr>
          <w:i/>
        </w:rPr>
        <w:t xml:space="preserve">6</w:t>
      </w:r>
      <w:r>
        <w:t xml:space="preserve">(1-2), 51–71. doi:</w:t>
      </w:r>
      <w:hyperlink r:id="rId48">
        <w:r>
          <w:rPr>
            <w:rStyle w:val="Hyperlink"/>
          </w:rPr>
          <w:t xml:space="preserve">10.1078/1433-8319-00042</w:t>
        </w:r>
      </w:hyperlink>
    </w:p>
    <w:p>
      <w:pPr>
        <w:pStyle w:val="Textkrper"/>
      </w:pPr>
      <w:r>
        <w:t xml:space="preserve">Chesson, P. (2000). Mechanisms of Maintenance of Species Diversity.</w:t>
      </w:r>
      <w:r>
        <w:t xml:space="preserve"> </w:t>
      </w:r>
      <w:r>
        <w:rPr>
          <w:i/>
        </w:rPr>
        <w:t xml:space="preserve">Annual Review of Ecology and Systematics</w:t>
      </w:r>
      <w:r>
        <w:t xml:space="preserve">,</w:t>
      </w:r>
      <w:r>
        <w:t xml:space="preserve"> </w:t>
      </w:r>
      <w:r>
        <w:rPr>
          <w:i/>
        </w:rPr>
        <w:t xml:space="preserve">31</w:t>
      </w:r>
      <w:r>
        <w:t xml:space="preserve">, 343–66. doi:</w:t>
      </w:r>
      <w:hyperlink r:id="rId49">
        <w:r>
          <w:rPr>
            <w:rStyle w:val="Hyperlink"/>
          </w:rPr>
          <w:t xml:space="preserve">10.1146/annurev.ecolsys.31.1.343</w:t>
        </w:r>
      </w:hyperlink>
    </w:p>
    <w:p>
      <w:pPr>
        <w:pStyle w:val="Textkrper"/>
      </w:pPr>
      <w:r>
        <w:t xml:space="preserve">Denslow, J. S. (1980). Gap Partitioning among Tropical Rainforest Trees.</w:t>
      </w:r>
      <w:r>
        <w:t xml:space="preserve"> </w:t>
      </w:r>
      <w:r>
        <w:rPr>
          <w:i/>
        </w:rPr>
        <w:t xml:space="preserve">Biotropica</w:t>
      </w:r>
      <w:r>
        <w:t xml:space="preserve">,</w:t>
      </w:r>
      <w:r>
        <w:t xml:space="preserve"> </w:t>
      </w:r>
      <w:r>
        <w:rPr>
          <w:i/>
        </w:rPr>
        <w:t xml:space="preserve">12</w:t>
      </w:r>
      <w:r>
        <w:t xml:space="preserve">(2), 47–55. doi:</w:t>
      </w:r>
      <w:hyperlink r:id="rId50">
        <w:r>
          <w:rPr>
            <w:rStyle w:val="Hyperlink"/>
          </w:rPr>
          <w:t xml:space="preserve">10.2307/2388156</w:t>
        </w:r>
      </w:hyperlink>
    </w:p>
    <w:p>
      <w:pPr>
        <w:pStyle w:val="Textkrper"/>
      </w:pPr>
      <w:r>
        <w:t xml:space="preserve">Díaz, S., Lavorel, S., Bello, F. de, Quétier, F., Grigulis, K., &amp; Robson, T. M. (2007). Incorporating plant functional diversity effects in ecosystem service assessments.</w:t>
      </w:r>
      <w:r>
        <w:t xml:space="preserve"> </w:t>
      </w:r>
      <w:r>
        <w:rPr>
          <w:i/>
        </w:rPr>
        <w:t xml:space="preserve">Proceedings of the National Academy of Sciences</w:t>
      </w:r>
      <w:r>
        <w:t xml:space="preserve">,</w:t>
      </w:r>
      <w:r>
        <w:t xml:space="preserve"> </w:t>
      </w:r>
      <w:r>
        <w:rPr>
          <w:i/>
        </w:rPr>
        <w:t xml:space="preserve">104</w:t>
      </w:r>
      <w:r>
        <w:t xml:space="preserve">(52), 20684–20689. doi:</w:t>
      </w:r>
      <w:hyperlink r:id="rId51">
        <w:r>
          <w:rPr>
            <w:rStyle w:val="Hyperlink"/>
          </w:rPr>
          <w:t xml:space="preserve">10.1073/pnas.0704716104</w:t>
        </w:r>
      </w:hyperlink>
    </w:p>
    <w:p>
      <w:pPr>
        <w:pStyle w:val="Textkrper"/>
      </w:pPr>
      <w:r>
        <w:t xml:space="preserve">Díaz, S., Tilman, D., Fargione, J., Chapin III, F. S., Dirzo, R., Kitzberger, T., … Eardley, C. (2005). Biodiversity Regulation of Ecosystem Services.</w:t>
      </w:r>
      <w:r>
        <w:t xml:space="preserve"> </w:t>
      </w:r>
      <w:r>
        <w:rPr>
          <w:i/>
        </w:rPr>
        <w:t xml:space="preserve">Trends and Conditions</w:t>
      </w:r>
      <w:r>
        <w:t xml:space="preserve">, 297–329.</w:t>
      </w:r>
    </w:p>
    <w:p>
      <w:pPr>
        <w:pStyle w:val="Textkrper"/>
      </w:pPr>
      <w:r>
        <w:t xml:space="preserve">Elmqvist, T., Folke, C., Nystrom, M., Peterson, G., Bengtsson, J., Walker, B., &amp; Norberg, J. (2003). Response diversity, ecosystem change, and resilience.</w:t>
      </w:r>
      <w:r>
        <w:t xml:space="preserve"> </w:t>
      </w:r>
      <w:r>
        <w:rPr>
          <w:i/>
        </w:rPr>
        <w:t xml:space="preserve">Frontiers in Ecology and the Environment</w:t>
      </w:r>
      <w:r>
        <w:t xml:space="preserve">,</w:t>
      </w:r>
      <w:r>
        <w:t xml:space="preserve"> </w:t>
      </w:r>
      <w:r>
        <w:rPr>
          <w:i/>
        </w:rPr>
        <w:t xml:space="preserve">1</w:t>
      </w:r>
      <w:r>
        <w:t xml:space="preserve">(9), 488–494. doi:</w:t>
      </w:r>
      <w:hyperlink r:id="rId52">
        <w:r>
          <w:rPr>
            <w:rStyle w:val="Hyperlink"/>
          </w:rPr>
          <w:t xml:space="preserve">10.2307/3868116</w:t>
        </w:r>
      </w:hyperlink>
    </w:p>
    <w:p>
      <w:pPr>
        <w:pStyle w:val="Textkrper"/>
      </w:pPr>
      <w:r>
        <w:t xml:space="preserve">Fukami, T., Bezemer, T. M., Mortimer, S. R., &amp; Van Der Putten, W. H. (2005). Species divergence and trait convergence in experimental plant community assembly.</w:t>
      </w:r>
      <w:r>
        <w:t xml:space="preserve"> </w:t>
      </w:r>
      <w:r>
        <w:rPr>
          <w:i/>
        </w:rPr>
        <w:t xml:space="preserve">Ecology Letters</w:t>
      </w:r>
      <w:r>
        <w:t xml:space="preserve">,</w:t>
      </w:r>
      <w:r>
        <w:t xml:space="preserve"> </w:t>
      </w:r>
      <w:r>
        <w:rPr>
          <w:i/>
        </w:rPr>
        <w:t xml:space="preserve">8</w:t>
      </w:r>
      <w:r>
        <w:t xml:space="preserve">(12), 1283–1290. doi:</w:t>
      </w:r>
      <w:hyperlink r:id="rId53">
        <w:r>
          <w:rPr>
            <w:rStyle w:val="Hyperlink"/>
          </w:rPr>
          <w:t xml:space="preserve">10.1111/j.1461-0248.2005.00829.x</w:t>
        </w:r>
      </w:hyperlink>
    </w:p>
    <w:p>
      <w:pPr>
        <w:pStyle w:val="Textkrper"/>
      </w:pPr>
      <w:r>
        <w:t xml:space="preserve">Goulamoussène, Y., Bedeau, C., Descroix, L., Linguet, L., &amp; Hérault, B. (2017). Environmental control of natural gap size distribution in tropical forests.</w:t>
      </w:r>
      <w:r>
        <w:t xml:space="preserve"> </w:t>
      </w:r>
      <w:r>
        <w:rPr>
          <w:i/>
        </w:rPr>
        <w:t xml:space="preserve">Biogeosciences</w:t>
      </w:r>
      <w:r>
        <w:t xml:space="preserve">,</w:t>
      </w:r>
      <w:r>
        <w:t xml:space="preserve"> </w:t>
      </w:r>
      <w:r>
        <w:rPr>
          <w:i/>
        </w:rPr>
        <w:t xml:space="preserve">14</w:t>
      </w:r>
      <w:r>
        <w:t xml:space="preserve">(2), 353–364. doi:</w:t>
      </w:r>
      <w:hyperlink r:id="rId54">
        <w:r>
          <w:rPr>
            <w:rStyle w:val="Hyperlink"/>
          </w:rPr>
          <w:t xml:space="preserve">10.5194/bg-14-353-2017</w:t>
        </w:r>
      </w:hyperlink>
    </w:p>
    <w:p>
      <w:pPr>
        <w:pStyle w:val="Textkrper"/>
      </w:pPr>
      <w:r>
        <w:t xml:space="preserve">Guitet, S., Sabatier, D., Brunaux, O., Couteron, P., Denis, T., Freycon, V., … Vincent, G. (2018). Disturbance regimes drive the diversity of regional floristic pools across Guianan rainsforest landscapes.</w:t>
      </w:r>
      <w:r>
        <w:t xml:space="preserve"> </w:t>
      </w:r>
      <w:r>
        <w:rPr>
          <w:i/>
        </w:rPr>
        <w:t xml:space="preserve">Scientific Reports</w:t>
      </w:r>
      <w:r>
        <w:t xml:space="preserve">,</w:t>
      </w:r>
      <w:r>
        <w:t xml:space="preserve"> </w:t>
      </w:r>
      <w:r>
        <w:rPr>
          <w:i/>
        </w:rPr>
        <w:t xml:space="preserve">8</w:t>
      </w:r>
      <w:r>
        <w:t xml:space="preserve">(1), 3872. doi:</w:t>
      </w:r>
      <w:hyperlink r:id="rId55">
        <w:r>
          <w:rPr>
            <w:rStyle w:val="Hyperlink"/>
          </w:rPr>
          <w:t xml:space="preserve">10.1038/s41598-018-22209-9</w:t>
        </w:r>
      </w:hyperlink>
    </w:p>
    <w:p>
      <w:pPr>
        <w:pStyle w:val="Textkrper"/>
      </w:pPr>
      <w:r>
        <w:t xml:space="preserve">Haddad, N. M., Holyoak, M., Mata, T. M., Davies, K. F., Melbourne, B. A., &amp; Preston, K. (2008). Species’ traits predict the effects of disturbance and productivity on diversity.</w:t>
      </w:r>
      <w:r>
        <w:t xml:space="preserve"> </w:t>
      </w:r>
      <w:r>
        <w:rPr>
          <w:i/>
        </w:rPr>
        <w:t xml:space="preserve">Ecology Letters</w:t>
      </w:r>
      <w:r>
        <w:t xml:space="preserve">,</w:t>
      </w:r>
      <w:r>
        <w:t xml:space="preserve"> </w:t>
      </w:r>
      <w:r>
        <w:rPr>
          <w:i/>
        </w:rPr>
        <w:t xml:space="preserve">11</w:t>
      </w:r>
      <w:r>
        <w:t xml:space="preserve">(4), 348–356. doi:</w:t>
      </w:r>
      <w:hyperlink r:id="rId56">
        <w:r>
          <w:rPr>
            <w:rStyle w:val="Hyperlink"/>
          </w:rPr>
          <w:t xml:space="preserve">10.1111/j.1461-0248.2007.01149.x</w:t>
        </w:r>
      </w:hyperlink>
    </w:p>
    <w:p>
      <w:pPr>
        <w:pStyle w:val="Textkrper"/>
      </w:pPr>
      <w:r>
        <w:t xml:space="preserve">Hérault, B., &amp; Piponiot, C. (2018). Key drivers of ecosystem recovery after disturbance in a neotropical forest.</w:t>
      </w:r>
      <w:r>
        <w:t xml:space="preserve"> </w:t>
      </w:r>
      <w:r>
        <w:rPr>
          <w:i/>
        </w:rPr>
        <w:t xml:space="preserve">Forest Ecosystems</w:t>
      </w:r>
      <w:r>
        <w:t xml:space="preserve">,</w:t>
      </w:r>
      <w:r>
        <w:t xml:space="preserve"> </w:t>
      </w:r>
      <w:r>
        <w:rPr>
          <w:i/>
        </w:rPr>
        <w:t xml:space="preserve">5</w:t>
      </w:r>
      <w:r>
        <w:t xml:space="preserve">(1), 2. doi:</w:t>
      </w:r>
      <w:hyperlink r:id="rId57">
        <w:r>
          <w:rPr>
            <w:rStyle w:val="Hyperlink"/>
          </w:rPr>
          <w:t xml:space="preserve">10.1186/s40663-017-0126-7</w:t>
        </w:r>
      </w:hyperlink>
    </w:p>
    <w:p>
      <w:pPr>
        <w:pStyle w:val="Textkrper"/>
      </w:pPr>
      <w:r>
        <w:t xml:space="preserve">Hérault, B., Bachelot, B., Poorter, L., Rossi, V., Bongers, F., Chave, J., … Baraloto, C. (2011). Functional traits shape ontogenetic growth trajectories of rain forest tree species.</w:t>
      </w:r>
      <w:r>
        <w:t xml:space="preserve"> </w:t>
      </w:r>
      <w:r>
        <w:rPr>
          <w:i/>
        </w:rPr>
        <w:t xml:space="preserve">Journal of Ecology</w:t>
      </w:r>
      <w:r>
        <w:t xml:space="preserve">,</w:t>
      </w:r>
      <w:r>
        <w:t xml:space="preserve"> </w:t>
      </w:r>
      <w:r>
        <w:rPr>
          <w:i/>
        </w:rPr>
        <w:t xml:space="preserve">99</w:t>
      </w:r>
      <w:r>
        <w:t xml:space="preserve">, 1431–1440. doi:</w:t>
      </w:r>
      <w:hyperlink r:id="rId58">
        <w:r>
          <w:rPr>
            <w:rStyle w:val="Hyperlink"/>
          </w:rPr>
          <w:t xml:space="preserve">10.1111/j.1365-2745.2011.01883.x</w:t>
        </w:r>
      </w:hyperlink>
    </w:p>
    <w:p>
      <w:pPr>
        <w:pStyle w:val="Textkrper"/>
      </w:pPr>
      <w:r>
        <w:t xml:space="preserve">Hill, M. O. (1973). Diversity and Evenness : A Unifying Notation and Its Consequences.</w:t>
      </w:r>
      <w:r>
        <w:t xml:space="preserve"> </w:t>
      </w:r>
      <w:r>
        <w:rPr>
          <w:i/>
        </w:rPr>
        <w:t xml:space="preserve">Ecological Society of America</w:t>
      </w:r>
      <w:r>
        <w:t xml:space="preserve">,</w:t>
      </w:r>
      <w:r>
        <w:t xml:space="preserve"> </w:t>
      </w:r>
      <w:r>
        <w:rPr>
          <w:i/>
        </w:rPr>
        <w:t xml:space="preserve">54</w:t>
      </w:r>
      <w:r>
        <w:t xml:space="preserve">(2), 427–432. doi:</w:t>
      </w:r>
      <w:hyperlink r:id="rId59">
        <w:r>
          <w:rPr>
            <w:rStyle w:val="Hyperlink"/>
          </w:rPr>
          <w:t xml:space="preserve">10.2307/1934352</w:t>
        </w:r>
      </w:hyperlink>
    </w:p>
    <w:p>
      <w:pPr>
        <w:pStyle w:val="Textkrper"/>
      </w:pPr>
      <w:r>
        <w:t xml:space="preserve">Jones, C. G., Lawton, J. H., &amp; Shachak, M. (1994). Organisms as ecosystem engineers. In</w:t>
      </w:r>
      <w:r>
        <w:t xml:space="preserve"> </w:t>
      </w:r>
      <w:r>
        <w:rPr>
          <w:i/>
        </w:rPr>
        <w:t xml:space="preserve">Ecosystem management</w:t>
      </w:r>
      <w:r>
        <w:t xml:space="preserve"> </w:t>
      </w:r>
      <w:r>
        <w:t xml:space="preserve">(pp. 130–147). Springer.</w:t>
      </w:r>
    </w:p>
    <w:p>
      <w:pPr>
        <w:pStyle w:val="Textkrper"/>
      </w:pPr>
      <w:r>
        <w:t xml:space="preserve">Kariuki, M., Kooyman, R. M., Smith, R. G. B., Wardell-Johnson, G., &amp; Vanclay, J. K. (2006). Regeneration changes in tree species abundance, diversity and structure in logged and unlogged subtropical rainforest over a 36-year period.</w:t>
      </w:r>
      <w:r>
        <w:t xml:space="preserve"> </w:t>
      </w:r>
      <w:r>
        <w:rPr>
          <w:i/>
        </w:rPr>
        <w:t xml:space="preserve">Forest Ecology and Management</w:t>
      </w:r>
      <w:r>
        <w:t xml:space="preserve">,</w:t>
      </w:r>
      <w:r>
        <w:t xml:space="preserve"> </w:t>
      </w:r>
      <w:r>
        <w:rPr>
          <w:i/>
        </w:rPr>
        <w:t xml:space="preserve">236</w:t>
      </w:r>
      <w:r>
        <w:t xml:space="preserve">(2-3), 162–176. doi:</w:t>
      </w:r>
      <w:hyperlink r:id="rId60">
        <w:r>
          <w:rPr>
            <w:rStyle w:val="Hyperlink"/>
          </w:rPr>
          <w:t xml:space="preserve">10.1016/j.foreco.2006.09.021</w:t>
        </w:r>
      </w:hyperlink>
    </w:p>
    <w:p>
      <w:pPr>
        <w:pStyle w:val="Textkrper"/>
      </w:pPr>
      <w:r>
        <w:t xml:space="preserve">Lavorel, S., &amp; Garnier, É. (2002). Predicting changes in community composition and ecosystem functioning from plant traits: Revisiting the holy grail.</w:t>
      </w:r>
      <w:r>
        <w:t xml:space="preserve"> </w:t>
      </w:r>
      <w:r>
        <w:rPr>
          <w:i/>
        </w:rPr>
        <w:t xml:space="preserve">Functional Ecology</w:t>
      </w:r>
      <w:r>
        <w:t xml:space="preserve">,</w:t>
      </w:r>
      <w:r>
        <w:t xml:space="preserve"> </w:t>
      </w:r>
      <w:r>
        <w:rPr>
          <w:i/>
        </w:rPr>
        <w:t xml:space="preserve">16</w:t>
      </w:r>
      <w:r>
        <w:t xml:space="preserve">(5), 545–556. doi:</w:t>
      </w:r>
      <w:hyperlink r:id="rId61">
        <w:r>
          <w:rPr>
            <w:rStyle w:val="Hyperlink"/>
          </w:rPr>
          <w:t xml:space="preserve">10.1046/j.1365-2435.2002.00664.x</w:t>
        </w:r>
      </w:hyperlink>
    </w:p>
    <w:p>
      <w:pPr>
        <w:pStyle w:val="Textkrper"/>
      </w:pPr>
      <w:r>
        <w:t xml:space="preserve">Liang, J., Crowther, T. W., Picard, N., Wiser, S., Zhou, M., Alberti, G., … Reich, P. B. (2016). Positive biodiversity–productivity relationship predominant in global forests.</w:t>
      </w:r>
      <w:r>
        <w:t xml:space="preserve"> </w:t>
      </w:r>
      <w:r>
        <w:rPr>
          <w:i/>
        </w:rPr>
        <w:t xml:space="preserve">Science</w:t>
      </w:r>
      <w:r>
        <w:t xml:space="preserve">,</w:t>
      </w:r>
      <w:r>
        <w:t xml:space="preserve"> </w:t>
      </w:r>
      <w:r>
        <w:rPr>
          <w:i/>
        </w:rPr>
        <w:t xml:space="preserve">354</w:t>
      </w:r>
      <w:r>
        <w:t xml:space="preserve">(6309), aaf8957. doi:</w:t>
      </w:r>
      <w:hyperlink r:id="rId62">
        <w:r>
          <w:rPr>
            <w:rStyle w:val="Hyperlink"/>
          </w:rPr>
          <w:t xml:space="preserve">10.1126/science.aaf8957</w:t>
        </w:r>
      </w:hyperlink>
    </w:p>
    <w:p>
      <w:pPr>
        <w:pStyle w:val="Textkrper"/>
      </w:pPr>
      <w:r>
        <w:t xml:space="preserve">Marcon, E. (2015). Practical Estimation of Diversity from Abundance Data.</w:t>
      </w:r>
      <w:r>
        <w:t xml:space="preserve"> </w:t>
      </w:r>
      <w:r>
        <w:rPr>
          <w:i/>
        </w:rPr>
        <w:t xml:space="preserve">HAL Archives-Ouvertes</w:t>
      </w:r>
      <w:r>
        <w:t xml:space="preserve">, 9.</w:t>
      </w:r>
    </w:p>
    <w:p>
      <w:pPr>
        <w:pStyle w:val="Textkrper"/>
      </w:pPr>
      <w:r>
        <w:t xml:space="preserve">Molino, J. F., &amp; Sabatier, D. (2001). Tree diversity in tropical rain forests: a validation of the intermediate disturbance hypothesis.</w:t>
      </w:r>
      <w:r>
        <w:t xml:space="preserve"> </w:t>
      </w:r>
      <w:r>
        <w:rPr>
          <w:i/>
        </w:rPr>
        <w:t xml:space="preserve">Science</w:t>
      </w:r>
      <w:r>
        <w:t xml:space="preserve">,</w:t>
      </w:r>
      <w:r>
        <w:t xml:space="preserve"> </w:t>
      </w:r>
      <w:r>
        <w:rPr>
          <w:i/>
        </w:rPr>
        <w:t xml:space="preserve">294</w:t>
      </w:r>
      <w:r>
        <w:t xml:space="preserve">(5547), 1702–1704. doi:</w:t>
      </w:r>
      <w:hyperlink r:id="rId63">
        <w:r>
          <w:rPr>
            <w:rStyle w:val="Hyperlink"/>
          </w:rPr>
          <w:t xml:space="preserve">10.1126/science.1060284</w:t>
        </w:r>
      </w:hyperlink>
    </w:p>
    <w:p>
      <w:pPr>
        <w:pStyle w:val="Textkrper"/>
      </w:pPr>
      <w:r>
        <w:t xml:space="preserve">Morales-Hidalgo, D., Oswalt, S. N., &amp; Somanathan, E. (2015). Status and trends in global primary forest, protected areas, and areas designated for conservation of biodiversity from the Global Forest Resources Assessment 2015.</w:t>
      </w:r>
      <w:r>
        <w:t xml:space="preserve"> </w:t>
      </w:r>
      <w:r>
        <w:rPr>
          <w:i/>
        </w:rPr>
        <w:t xml:space="preserve">Forest Ecology and Management</w:t>
      </w:r>
      <w:r>
        <w:t xml:space="preserve">,</w:t>
      </w:r>
      <w:r>
        <w:t xml:space="preserve"> </w:t>
      </w:r>
      <w:r>
        <w:rPr>
          <w:i/>
        </w:rPr>
        <w:t xml:space="preserve">352</w:t>
      </w:r>
      <w:r>
        <w:t xml:space="preserve">, 68–77. doi:</w:t>
      </w:r>
      <w:hyperlink r:id="rId64">
        <w:r>
          <w:rPr>
            <w:rStyle w:val="Hyperlink"/>
          </w:rPr>
          <w:t xml:space="preserve">10.1016/j.foreco.2015.06.011</w:t>
        </w:r>
      </w:hyperlink>
    </w:p>
    <w:p>
      <w:pPr>
        <w:pStyle w:val="Textkrper"/>
      </w:pPr>
      <w:r>
        <w:t xml:space="preserve">Piponiot, C., Sist, P., Mazzei, L., Peña-Claros, M., Putz, F. E., Rutishauser, E., … Hérault, B. (2016). Carbon recovery dynamics following disturbance by selective logging in amazonian forests.</w:t>
      </w:r>
      <w:r>
        <w:t xml:space="preserve"> </w:t>
      </w:r>
      <w:r>
        <w:rPr>
          <w:i/>
        </w:rPr>
        <w:t xml:space="preserve">ELife</w:t>
      </w:r>
      <w:r>
        <w:t xml:space="preserve">,</w:t>
      </w:r>
      <w:r>
        <w:t xml:space="preserve"> </w:t>
      </w:r>
      <w:r>
        <w:rPr>
          <w:i/>
        </w:rPr>
        <w:t xml:space="preserve">5</w:t>
      </w:r>
      <w:r>
        <w:t xml:space="preserve">, e21394. doi:</w:t>
      </w:r>
      <w:hyperlink r:id="rId65">
        <w:r>
          <w:rPr>
            <w:rStyle w:val="Hyperlink"/>
          </w:rPr>
          <w:t xml:space="preserve">10.7554/eLife.21394</w:t>
        </w:r>
      </w:hyperlink>
    </w:p>
    <w:p>
      <w:pPr>
        <w:pStyle w:val="Textkrper"/>
      </w:pPr>
      <w:r>
        <w:t xml:space="preserve">Reich, P. B. (2014). The world-wide ’fast-slow’ plant economics spectrum: A traits manifesto.</w:t>
      </w:r>
      <w:r>
        <w:t xml:space="preserve"> </w:t>
      </w:r>
      <w:r>
        <w:rPr>
          <w:i/>
        </w:rPr>
        <w:t xml:space="preserve">Journal of Ecology</w:t>
      </w:r>
      <w:r>
        <w:t xml:space="preserve">,</w:t>
      </w:r>
      <w:r>
        <w:t xml:space="preserve"> </w:t>
      </w:r>
      <w:r>
        <w:rPr>
          <w:i/>
        </w:rPr>
        <w:t xml:space="preserve">102</w:t>
      </w:r>
      <w:r>
        <w:t xml:space="preserve">, 275–301. doi:</w:t>
      </w:r>
      <w:hyperlink r:id="rId66">
        <w:r>
          <w:rPr>
            <w:rStyle w:val="Hyperlink"/>
          </w:rPr>
          <w:t xml:space="preserve">10.1111/1365-2745.12211</w:t>
        </w:r>
      </w:hyperlink>
    </w:p>
    <w:p>
      <w:pPr>
        <w:pStyle w:val="Textkrper"/>
      </w:pPr>
      <w:r>
        <w:t xml:space="preserve">Réjou-Méchain, M., Tanguy, A., Piponiot, C., Chave, J., &amp; Hérault, B. (2018).</w:t>
      </w:r>
      <w:r>
        <w:t xml:space="preserve"> </w:t>
      </w:r>
      <w:r>
        <w:rPr>
          <w:i/>
        </w:rPr>
        <w:t xml:space="preserve">BIOMASS: Estimating aboveground biomass and its uncertainty in tropical forests</w:t>
      </w:r>
      <w:r>
        <w:t xml:space="preserve">.</w:t>
      </w:r>
      <w:r>
        <w:t xml:space="preserve"> </w:t>
      </w:r>
      <w:r>
        <w:rPr>
          <w:i/>
        </w:rPr>
        <w:t xml:space="preserve">R Package Version</w:t>
      </w:r>
      <w:r>
        <w:t xml:space="preserve"> </w:t>
      </w:r>
      <w:r>
        <w:t xml:space="preserve">(Vol. 1).</w:t>
      </w:r>
    </w:p>
    <w:p>
      <w:pPr>
        <w:pStyle w:val="Textkrper"/>
      </w:pPr>
      <w:r>
        <w:t xml:space="preserve">Rutishauser, E., Hérault, B., Petronelli, P., &amp; Sist, P. (2016). Tree Height Reduction After Selective Logging in a Tropical Forest.</w:t>
      </w:r>
      <w:r>
        <w:t xml:space="preserve"> </w:t>
      </w:r>
      <w:r>
        <w:rPr>
          <w:i/>
        </w:rPr>
        <w:t xml:space="preserve">Biotropica</w:t>
      </w:r>
      <w:r>
        <w:t xml:space="preserve">,</w:t>
      </w:r>
      <w:r>
        <w:t xml:space="preserve"> </w:t>
      </w:r>
      <w:r>
        <w:rPr>
          <w:i/>
        </w:rPr>
        <w:t xml:space="preserve">48</w:t>
      </w:r>
      <w:r>
        <w:t xml:space="preserve">(3), 285–289. doi:</w:t>
      </w:r>
      <w:hyperlink r:id="rId67">
        <w:r>
          <w:rPr>
            <w:rStyle w:val="Hyperlink"/>
          </w:rPr>
          <w:t xml:space="preserve">10.1111/btp.12326</w:t>
        </w:r>
      </w:hyperlink>
    </w:p>
    <w:p>
      <w:pPr>
        <w:pStyle w:val="Textkrper"/>
      </w:pPr>
      <w:r>
        <w:t xml:space="preserve">Schleuning, M., Fruend, J., Schweiger, O., Welk, E., Albrecht, J., Albrecht, M., … others. (2016). Ecological networks are more sensitive to plant than to animal extinction under climate change.</w:t>
      </w:r>
      <w:r>
        <w:t xml:space="preserve"> </w:t>
      </w:r>
      <w:r>
        <w:rPr>
          <w:i/>
        </w:rPr>
        <w:t xml:space="preserve">Nature Communications</w:t>
      </w:r>
      <w:r>
        <w:t xml:space="preserve">,</w:t>
      </w:r>
      <w:r>
        <w:t xml:space="preserve"> </w:t>
      </w:r>
      <w:r>
        <w:rPr>
          <w:i/>
        </w:rPr>
        <w:t xml:space="preserve">7</w:t>
      </w:r>
      <w:r>
        <w:t xml:space="preserve">, 13965.</w:t>
      </w:r>
    </w:p>
    <w:p>
      <w:pPr>
        <w:pStyle w:val="Textkrper"/>
      </w:pPr>
      <w:r>
        <w:t xml:space="preserve">Schmitt, L., &amp; Bariteau, M. (1989). Management of the guianese forest ecosystem : study of growth and natural regeneration (Paracou program).</w:t>
      </w:r>
      <w:r>
        <w:t xml:space="preserve"> </w:t>
      </w:r>
      <w:r>
        <w:rPr>
          <w:i/>
        </w:rPr>
        <w:t xml:space="preserve">Bois et forêts Des Tropiques</w:t>
      </w:r>
      <w:r>
        <w:t xml:space="preserve">,</w:t>
      </w:r>
      <w:r>
        <w:t xml:space="preserve"> </w:t>
      </w:r>
      <w:r>
        <w:rPr>
          <w:i/>
        </w:rPr>
        <w:t xml:space="preserve">220</w:t>
      </w:r>
      <w:r>
        <w:t xml:space="preserve">, 3. doi:</w:t>
      </w:r>
      <w:hyperlink r:id="rId68">
        <w:r>
          <w:rPr>
            <w:rStyle w:val="Hyperlink"/>
          </w:rPr>
          <w:t xml:space="preserve">0006-579X</w:t>
        </w:r>
      </w:hyperlink>
    </w:p>
    <w:p>
      <w:pPr>
        <w:pStyle w:val="Textkrper"/>
      </w:pPr>
      <w:r>
        <w:t xml:space="preserve">Steege, H. ter, Pitman, N. C. a, Phillips, O. L., Chave, J., Sabatier, D., Duque, A., … Vásquez, R. (2006). Continental-scale patterns of canopy tree composition and function across Amazonia.</w:t>
      </w:r>
      <w:r>
        <w:t xml:space="preserve"> </w:t>
      </w:r>
      <w:r>
        <w:rPr>
          <w:i/>
        </w:rPr>
        <w:t xml:space="preserve">Nature</w:t>
      </w:r>
      <w:r>
        <w:t xml:space="preserve">,</w:t>
      </w:r>
      <w:r>
        <w:t xml:space="preserve"> </w:t>
      </w:r>
      <w:r>
        <w:rPr>
          <w:i/>
        </w:rPr>
        <w:t xml:space="preserve">443</w:t>
      </w:r>
      <w:r>
        <w:t xml:space="preserve">(7110), 0–2. doi:</w:t>
      </w:r>
      <w:hyperlink r:id="rId69">
        <w:r>
          <w:rPr>
            <w:rStyle w:val="Hyperlink"/>
          </w:rPr>
          <w:t xml:space="preserve">10.1038/nature05134</w:t>
        </w:r>
      </w:hyperlink>
    </w:p>
    <w:p>
      <w:pPr>
        <w:pStyle w:val="Textkrper"/>
      </w:pPr>
      <w:r>
        <w:t xml:space="preserve">Svenning, J., &amp; Wright, S. (2005). Seed Limitation in a Panamian Forest.</w:t>
      </w:r>
      <w:r>
        <w:t xml:space="preserve"> </w:t>
      </w:r>
      <w:r>
        <w:rPr>
          <w:i/>
        </w:rPr>
        <w:t xml:space="preserve">Journal of Ecology</w:t>
      </w:r>
      <w:r>
        <w:t xml:space="preserve">,</w:t>
      </w:r>
      <w:r>
        <w:t xml:space="preserve"> </w:t>
      </w:r>
      <w:r>
        <w:rPr>
          <w:i/>
        </w:rPr>
        <w:t xml:space="preserve">93</w:t>
      </w:r>
      <w:r>
        <w:t xml:space="preserve">(5), 853–562. doi:</w:t>
      </w:r>
      <w:hyperlink r:id="rId70">
        <w:r>
          <w:rPr>
            <w:rStyle w:val="Hyperlink"/>
          </w:rPr>
          <w:t xml:space="preserve">10.1111/j.1365-2745.2005.01016.x</w:t>
        </w:r>
      </w:hyperlink>
    </w:p>
    <w:p>
      <w:pPr>
        <w:pStyle w:val="Textkrper"/>
      </w:pPr>
      <w:r>
        <w:t xml:space="preserve">Tilman, D., Isbell, F., &amp; Cowles, J. M. (2014). Biodiversity and Ecosystem Functioning.</w:t>
      </w:r>
      <w:r>
        <w:t xml:space="preserve"> </w:t>
      </w:r>
      <w:r>
        <w:rPr>
          <w:i/>
        </w:rPr>
        <w:t xml:space="preserve">Annual Review of Ecology, Evolution, and Systematics</w:t>
      </w:r>
      <w:r>
        <w:t xml:space="preserve">,</w:t>
      </w:r>
      <w:r>
        <w:t xml:space="preserve"> </w:t>
      </w:r>
      <w:r>
        <w:rPr>
          <w:i/>
        </w:rPr>
        <w:t xml:space="preserve">45</w:t>
      </w:r>
      <w:r>
        <w:t xml:space="preserve">(1), 471–493. doi:</w:t>
      </w:r>
      <w:hyperlink r:id="rId71">
        <w:r>
          <w:rPr>
            <w:rStyle w:val="Hyperlink"/>
          </w:rPr>
          <w:t xml:space="preserve">10.1146/annurev-ecolsys-120213-091917</w:t>
        </w:r>
      </w:hyperlink>
    </w:p>
    <w:p>
      <w:pPr>
        <w:pStyle w:val="Textkrper"/>
      </w:pPr>
      <w:r>
        <w:t xml:space="preserve">van Buuren, S., &amp; Groothuis-Oudshoorn, K. (2011). mice: Multivariate imputation by chained equations in r.</w:t>
      </w:r>
      <w:r>
        <w:t xml:space="preserve"> </w:t>
      </w:r>
      <w:r>
        <w:rPr>
          <w:i/>
        </w:rPr>
        <w:t xml:space="preserve">Journal of Statistical Software</w:t>
      </w:r>
      <w:r>
        <w:t xml:space="preserve">,</w:t>
      </w:r>
      <w:r>
        <w:t xml:space="preserve"> </w:t>
      </w:r>
      <w:r>
        <w:rPr>
          <w:i/>
        </w:rPr>
        <w:t xml:space="preserve">45</w:t>
      </w:r>
      <w:r>
        <w:t xml:space="preserve">(3), 1–67. doi:</w:t>
      </w:r>
      <w:hyperlink r:id="rId72">
        <w:r>
          <w:rPr>
            <w:rStyle w:val="Hyperlink"/>
          </w:rPr>
          <w:t xml:space="preserve">10.1177/0962280206074463</w:t>
        </w:r>
      </w:hyperlink>
    </w:p>
    <w:p>
      <w:pPr>
        <w:pStyle w:val="Textkrper"/>
      </w:pPr>
      <w:r>
        <w:t xml:space="preserve">Violle, C., Navas, M.-L. L., Vile, D., Kazakou, E., Fortunel, C., Hummel, I., &amp; Garnier, E. (2007). Let the concept of trait be functional!</w:t>
      </w:r>
      <w:r>
        <w:t xml:space="preserve"> </w:t>
      </w:r>
      <w:r>
        <w:rPr>
          <w:i/>
        </w:rPr>
        <w:t xml:space="preserve">Oikos</w:t>
      </w:r>
      <w:r>
        <w:t xml:space="preserve">,</w:t>
      </w:r>
      <w:r>
        <w:t xml:space="preserve"> </w:t>
      </w:r>
      <w:r>
        <w:rPr>
          <w:i/>
        </w:rPr>
        <w:t xml:space="preserve">116</w:t>
      </w:r>
      <w:r>
        <w:t xml:space="preserve">(5), 882–892. doi:</w:t>
      </w:r>
      <w:hyperlink r:id="rId73">
        <w:r>
          <w:rPr>
            <w:rStyle w:val="Hyperlink"/>
          </w:rPr>
          <w:t xml:space="preserve">10.1111/j.2007.0030-1299.15559.x</w:t>
        </w:r>
      </w:hyperlink>
    </w:p>
    <w:p>
      <w:pPr>
        <w:pStyle w:val="Textkrper"/>
      </w:pPr>
      <w:r>
        <w:t xml:space="preserve">Wagner, F., Hérault, B., Stahl, C., Bonal, D., &amp; Rossi, V. (2011). Modeling water availability for trees in tropical forests.</w:t>
      </w:r>
      <w:r>
        <w:t xml:space="preserve"> </w:t>
      </w:r>
      <w:r>
        <w:rPr>
          <w:i/>
        </w:rPr>
        <w:t xml:space="preserve">Agricultural and Forest Meteorology</w:t>
      </w:r>
      <w:r>
        <w:t xml:space="preserve">,</w:t>
      </w:r>
      <w:r>
        <w:t xml:space="preserve"> </w:t>
      </w:r>
      <w:r>
        <w:rPr>
          <w:i/>
        </w:rPr>
        <w:t xml:space="preserve">151</w:t>
      </w:r>
      <w:r>
        <w:t xml:space="preserve">(9), 1202–1213. doi:</w:t>
      </w:r>
      <w:hyperlink r:id="rId74">
        <w:r>
          <w:rPr>
            <w:rStyle w:val="Hyperlink"/>
          </w:rPr>
          <w:t xml:space="preserve">10.1016/j.agrformet.2011.04.012</w:t>
        </w:r>
      </w:hyperlink>
    </w:p>
    <w:p>
      <w:pPr>
        <w:pStyle w:val="Textkrper"/>
      </w:pPr>
      <w:r>
        <w:t xml:space="preserve">Walker, L. R., &amp; Moral, R. del. (2009). Transition dynamics in succession: Implications for rates, trajectories and restoration.</w:t>
      </w:r>
      <w:r>
        <w:t xml:space="preserve"> </w:t>
      </w:r>
      <w:r>
        <w:rPr>
          <w:i/>
        </w:rPr>
        <w:t xml:space="preserve">New Models for Ecosystem Dynamics and Restoration</w:t>
      </w:r>
      <w:r>
        <w:t xml:space="preserve">, 33–49.</w:t>
      </w:r>
    </w:p>
    <w:p>
      <w:pPr>
        <w:pStyle w:val="Textkrper"/>
      </w:pPr>
      <w:r>
        <w:t xml:space="preserve">Westoby, M. (1998). A leaf-height-seed (LHS) plant ecology strategy scheme.</w:t>
      </w:r>
      <w:r>
        <w:t xml:space="preserve"> </w:t>
      </w:r>
      <w:r>
        <w:rPr>
          <w:i/>
        </w:rPr>
        <w:t xml:space="preserve">Plant and Soil</w:t>
      </w:r>
      <w:r>
        <w:t xml:space="preserve">,</w:t>
      </w:r>
      <w:r>
        <w:t xml:space="preserve"> </w:t>
      </w:r>
      <w:r>
        <w:rPr>
          <w:i/>
        </w:rPr>
        <w:t xml:space="preserve">199</w:t>
      </w:r>
      <w:r>
        <w:t xml:space="preserve">, 213–227. doi:</w:t>
      </w:r>
      <w:hyperlink r:id="rId75">
        <w:r>
          <w:rPr>
            <w:rStyle w:val="Hyperlink"/>
          </w:rPr>
          <w:t xml:space="preserve">10.1023/A:1004327224729</w:t>
        </w:r>
      </w:hyperlink>
    </w:p>
    <w:p>
      <w:pPr>
        <w:pStyle w:val="Textkrper"/>
      </w:pPr>
      <w:r>
        <w:t xml:space="preserve">Westoby, M., &amp; Wright, I. J. (2006). Land-plant ecology on the basis of functional traits.</w:t>
      </w:r>
      <w:r>
        <w:t xml:space="preserve"> </w:t>
      </w:r>
      <w:r>
        <w:rPr>
          <w:i/>
        </w:rPr>
        <w:t xml:space="preserve">Trends in Ecology and Evolution</w:t>
      </w:r>
      <w:r>
        <w:t xml:space="preserve">,</w:t>
      </w:r>
      <w:r>
        <w:t xml:space="preserve"> </w:t>
      </w:r>
      <w:r>
        <w:rPr>
          <w:i/>
        </w:rPr>
        <w:t xml:space="preserve">21</w:t>
      </w:r>
      <w:r>
        <w:t xml:space="preserve">(5), 261–268. doi:</w:t>
      </w:r>
      <w:hyperlink r:id="rId76">
        <w:r>
          <w:rPr>
            <w:rStyle w:val="Hyperlink"/>
          </w:rPr>
          <w:t xml:space="preserve">10.1016/j.tree.2006.02.004</w:t>
        </w:r>
      </w:hyperlink>
    </w:p>
    <w:p>
      <w:pPr>
        <w:pStyle w:val="Textkrper"/>
      </w:pPr>
      <w:r>
        <w:t xml:space="preserve">Wright, I. J., Reich, P. B., Westoby, M., Ackerly, D. D., Baruch, Z., Bongers, F., … Villar, R. (2004). The worldwide leaf economics spectrum.</w:t>
      </w:r>
      <w:r>
        <w:t xml:space="preserve"> </w:t>
      </w:r>
      <w:r>
        <w:rPr>
          <w:i/>
        </w:rPr>
        <w:t xml:space="preserve">Nature</w:t>
      </w:r>
      <w:r>
        <w:t xml:space="preserve">,</w:t>
      </w:r>
      <w:r>
        <w:t xml:space="preserve"> </w:t>
      </w:r>
      <w:r>
        <w:rPr>
          <w:i/>
        </w:rPr>
        <w:t xml:space="preserve">428</w:t>
      </w:r>
      <w:r>
        <w:t xml:space="preserve">(6985), 821–827. doi:</w:t>
      </w:r>
      <w:hyperlink r:id="rId77">
        <w:r>
          <w:rPr>
            <w:rStyle w:val="Hyperlink"/>
          </w:rPr>
          <w:t xml:space="preserve">10.1038/nature02403</w:t>
        </w:r>
      </w:hyperlink>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hyperlink r:id="rId28">
        <w:r>
          <w:rPr>
            <w:rStyle w:val="Hyperlink"/>
          </w:rPr>
          <w:t xml:space="preserve">http://www.ecofog.gf/Bridge/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372c49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www.ecofog.gf/Bridge/" TargetMode="External" /><Relationship Type="http://schemas.openxmlformats.org/officeDocument/2006/relationships/hyperlink" Id="rId68" Target="https://doi.org/0006-579X" TargetMode="External" /><Relationship Type="http://schemas.openxmlformats.org/officeDocument/2006/relationships/hyperlink" Id="rId74" Target="https://doi.org/10.1016/j.agrformet.2011.04.012" TargetMode="External" /><Relationship Type="http://schemas.openxmlformats.org/officeDocument/2006/relationships/hyperlink" Id="rId60" Target="https://doi.org/10.1016/j.foreco.2006.09.021" TargetMode="External" /><Relationship Type="http://schemas.openxmlformats.org/officeDocument/2006/relationships/hyperlink" Id="rId64" Target="https://doi.org/10.1016/j.foreco.2015.06.011" TargetMode="External" /><Relationship Type="http://schemas.openxmlformats.org/officeDocument/2006/relationships/hyperlink" Id="rId76" Target="https://doi.org/10.1016/j.tree.2006.02.004" TargetMode="External" /><Relationship Type="http://schemas.openxmlformats.org/officeDocument/2006/relationships/hyperlink" Id="rId45" Target="https://doi.org/10.1016/j.tree.2016.02.003" TargetMode="External" /><Relationship Type="http://schemas.openxmlformats.org/officeDocument/2006/relationships/hyperlink" Id="rId75" Target="https://doi.org/10.1023/A:1004327224729" TargetMode="External" /><Relationship Type="http://schemas.openxmlformats.org/officeDocument/2006/relationships/hyperlink" Id="rId77" Target="https://doi.org/10.1038/nature02403" TargetMode="External" /><Relationship Type="http://schemas.openxmlformats.org/officeDocument/2006/relationships/hyperlink" Id="rId69" Target="https://doi.org/10.1038/nature05134" TargetMode="External" /><Relationship Type="http://schemas.openxmlformats.org/officeDocument/2006/relationships/hyperlink" Id="rId55" Target="https://doi.org/10.1038/s41598-018-22209-9" TargetMode="External" /><Relationship Type="http://schemas.openxmlformats.org/officeDocument/2006/relationships/hyperlink" Id="rId46" Target="https://doi.org/10.1038/srep23954" TargetMode="External" /><Relationship Type="http://schemas.openxmlformats.org/officeDocument/2006/relationships/hyperlink" Id="rId61" Target="https://doi.org/10.1046/j.1365-2435.2002.00664.x" TargetMode="External" /><Relationship Type="http://schemas.openxmlformats.org/officeDocument/2006/relationships/hyperlink" Id="rId51" Target="https://doi.org/10.1073/pnas.0704716104" TargetMode="External" /><Relationship Type="http://schemas.openxmlformats.org/officeDocument/2006/relationships/hyperlink" Id="rId48" Target="https://doi.org/10.1078/1433-8319-00042" TargetMode="External" /><Relationship Type="http://schemas.openxmlformats.org/officeDocument/2006/relationships/hyperlink" Id="rId43" Target="https://doi.org/10.1098/rspb.2005.3276" TargetMode="External" /><Relationship Type="http://schemas.openxmlformats.org/officeDocument/2006/relationships/hyperlink" Id="rId66" Target="https://doi.org/10.1111/1365-2745.12211" TargetMode="External" /><Relationship Type="http://schemas.openxmlformats.org/officeDocument/2006/relationships/hyperlink" Id="rId67" Target="https://doi.org/10.1111/btp.12326" TargetMode="External" /><Relationship Type="http://schemas.openxmlformats.org/officeDocument/2006/relationships/hyperlink" Id="rId40" Target="https://doi.org/10.1111/gcb.12194" TargetMode="External" /><Relationship Type="http://schemas.openxmlformats.org/officeDocument/2006/relationships/hyperlink" Id="rId42" Target="https://doi.org/10.1111/j.1365-2664.2012.02164.x" TargetMode="External" /><Relationship Type="http://schemas.openxmlformats.org/officeDocument/2006/relationships/hyperlink" Id="rId70" Target="https://doi.org/10.1111/j.1365-2745.2005.01016.x" TargetMode="External" /><Relationship Type="http://schemas.openxmlformats.org/officeDocument/2006/relationships/hyperlink" Id="rId58" Target="https://doi.org/10.1111/j.1365-2745.2011.01883.x" TargetMode="External" /><Relationship Type="http://schemas.openxmlformats.org/officeDocument/2006/relationships/hyperlink" Id="rId53" Target="https://doi.org/10.1111/j.1461-0248.2005.00829.x" TargetMode="External" /><Relationship Type="http://schemas.openxmlformats.org/officeDocument/2006/relationships/hyperlink" Id="rId56" Target="https://doi.org/10.1111/j.1461-0248.2007.01149.x" TargetMode="External" /><Relationship Type="http://schemas.openxmlformats.org/officeDocument/2006/relationships/hyperlink" Id="rId47" Target="https://doi.org/10.1111/j.1461-0248.2009.01285.x" TargetMode="External" /><Relationship Type="http://schemas.openxmlformats.org/officeDocument/2006/relationships/hyperlink" Id="rId73" Target="https://doi.org/10.1111/j.2007.0030-1299.15559.x" TargetMode="External" /><Relationship Type="http://schemas.openxmlformats.org/officeDocument/2006/relationships/hyperlink" Id="rId63" Target="https://doi.org/10.1126/science.1060284" TargetMode="External" /><Relationship Type="http://schemas.openxmlformats.org/officeDocument/2006/relationships/hyperlink" Id="rId44" Target="https://doi.org/10.1126/science.281.5381.1366" TargetMode="External" /><Relationship Type="http://schemas.openxmlformats.org/officeDocument/2006/relationships/hyperlink" Id="rId62" Target="https://doi.org/10.1126/science.aaf8957" TargetMode="External" /><Relationship Type="http://schemas.openxmlformats.org/officeDocument/2006/relationships/hyperlink" Id="rId71" Target="https://doi.org/10.1146/annurev-ecolsys-120213-091917" TargetMode="External" /><Relationship Type="http://schemas.openxmlformats.org/officeDocument/2006/relationships/hyperlink" Id="rId49" Target="https://doi.org/10.1146/annurev.ecolsys.31.1.343" TargetMode="External" /><Relationship Type="http://schemas.openxmlformats.org/officeDocument/2006/relationships/hyperlink" Id="rId72" Target="https://doi.org/10.1177/0962280206074463" TargetMode="External" /><Relationship Type="http://schemas.openxmlformats.org/officeDocument/2006/relationships/hyperlink" Id="rId57" Target="https://doi.org/10.1186/s40663-017-0126-7" TargetMode="External" /><Relationship Type="http://schemas.openxmlformats.org/officeDocument/2006/relationships/hyperlink" Id="rId41" Target="https://doi.org/10.1371/journal.pone.0063678" TargetMode="External" /><Relationship Type="http://schemas.openxmlformats.org/officeDocument/2006/relationships/hyperlink" Id="rId59" Target="https://doi.org/10.2307/1934352" TargetMode="External" /><Relationship Type="http://schemas.openxmlformats.org/officeDocument/2006/relationships/hyperlink" Id="rId50" Target="https://doi.org/10.2307/2388156" TargetMode="External" /><Relationship Type="http://schemas.openxmlformats.org/officeDocument/2006/relationships/hyperlink" Id="rId52" Target="https://doi.org/10.2307/3868116" TargetMode="External" /><Relationship Type="http://schemas.openxmlformats.org/officeDocument/2006/relationships/hyperlink" Id="rId54" Target="https://doi.org/10.5194/bg-14-353-2017" TargetMode="External" /><Relationship Type="http://schemas.openxmlformats.org/officeDocument/2006/relationships/hyperlink" Id="rId65" Target="https://doi.org/10.7554/eLife.21394" TargetMode="External" /><Relationship Type="http://schemas.openxmlformats.org/officeDocument/2006/relationships/hyperlink" Id="rId22" Target="mailto:my@email.com" TargetMode="External" /></Relationships>
</file>

<file path=word/_rels/footnotes.xml.rels><?xml version="1.0" encoding="UTF-8"?>
<Relationships xmlns="http://schemas.openxmlformats.org/package/2006/relationships"><Relationship Type="http://schemas.openxmlformats.org/officeDocument/2006/relationships/hyperlink" Id="rId28" Target="http://www.ecofog.gf/Bridge/" TargetMode="External" /><Relationship Type="http://schemas.openxmlformats.org/officeDocument/2006/relationships/hyperlink" Id="rId68" Target="https://doi.org/0006-579X" TargetMode="External" /><Relationship Type="http://schemas.openxmlformats.org/officeDocument/2006/relationships/hyperlink" Id="rId74" Target="https://doi.org/10.1016/j.agrformet.2011.04.012" TargetMode="External" /><Relationship Type="http://schemas.openxmlformats.org/officeDocument/2006/relationships/hyperlink" Id="rId60" Target="https://doi.org/10.1016/j.foreco.2006.09.021" TargetMode="External" /><Relationship Type="http://schemas.openxmlformats.org/officeDocument/2006/relationships/hyperlink" Id="rId64" Target="https://doi.org/10.1016/j.foreco.2015.06.011" TargetMode="External" /><Relationship Type="http://schemas.openxmlformats.org/officeDocument/2006/relationships/hyperlink" Id="rId76" Target="https://doi.org/10.1016/j.tree.2006.02.004" TargetMode="External" /><Relationship Type="http://schemas.openxmlformats.org/officeDocument/2006/relationships/hyperlink" Id="rId45" Target="https://doi.org/10.1016/j.tree.2016.02.003" TargetMode="External" /><Relationship Type="http://schemas.openxmlformats.org/officeDocument/2006/relationships/hyperlink" Id="rId75" Target="https://doi.org/10.1023/A:1004327224729" TargetMode="External" /><Relationship Type="http://schemas.openxmlformats.org/officeDocument/2006/relationships/hyperlink" Id="rId77" Target="https://doi.org/10.1038/nature02403" TargetMode="External" /><Relationship Type="http://schemas.openxmlformats.org/officeDocument/2006/relationships/hyperlink" Id="rId69" Target="https://doi.org/10.1038/nature05134" TargetMode="External" /><Relationship Type="http://schemas.openxmlformats.org/officeDocument/2006/relationships/hyperlink" Id="rId55" Target="https://doi.org/10.1038/s41598-018-22209-9" TargetMode="External" /><Relationship Type="http://schemas.openxmlformats.org/officeDocument/2006/relationships/hyperlink" Id="rId46" Target="https://doi.org/10.1038/srep23954" TargetMode="External" /><Relationship Type="http://schemas.openxmlformats.org/officeDocument/2006/relationships/hyperlink" Id="rId61" Target="https://doi.org/10.1046/j.1365-2435.2002.00664.x" TargetMode="External" /><Relationship Type="http://schemas.openxmlformats.org/officeDocument/2006/relationships/hyperlink" Id="rId51" Target="https://doi.org/10.1073/pnas.0704716104" TargetMode="External" /><Relationship Type="http://schemas.openxmlformats.org/officeDocument/2006/relationships/hyperlink" Id="rId48" Target="https://doi.org/10.1078/1433-8319-00042" TargetMode="External" /><Relationship Type="http://schemas.openxmlformats.org/officeDocument/2006/relationships/hyperlink" Id="rId43" Target="https://doi.org/10.1098/rspb.2005.3276" TargetMode="External" /><Relationship Type="http://schemas.openxmlformats.org/officeDocument/2006/relationships/hyperlink" Id="rId66" Target="https://doi.org/10.1111/1365-2745.12211" TargetMode="External" /><Relationship Type="http://schemas.openxmlformats.org/officeDocument/2006/relationships/hyperlink" Id="rId67" Target="https://doi.org/10.1111/btp.12326" TargetMode="External" /><Relationship Type="http://schemas.openxmlformats.org/officeDocument/2006/relationships/hyperlink" Id="rId40" Target="https://doi.org/10.1111/gcb.12194" TargetMode="External" /><Relationship Type="http://schemas.openxmlformats.org/officeDocument/2006/relationships/hyperlink" Id="rId42" Target="https://doi.org/10.1111/j.1365-2664.2012.02164.x" TargetMode="External" /><Relationship Type="http://schemas.openxmlformats.org/officeDocument/2006/relationships/hyperlink" Id="rId70" Target="https://doi.org/10.1111/j.1365-2745.2005.01016.x" TargetMode="External" /><Relationship Type="http://schemas.openxmlformats.org/officeDocument/2006/relationships/hyperlink" Id="rId58" Target="https://doi.org/10.1111/j.1365-2745.2011.01883.x" TargetMode="External" /><Relationship Type="http://schemas.openxmlformats.org/officeDocument/2006/relationships/hyperlink" Id="rId53" Target="https://doi.org/10.1111/j.1461-0248.2005.00829.x" TargetMode="External" /><Relationship Type="http://schemas.openxmlformats.org/officeDocument/2006/relationships/hyperlink" Id="rId56" Target="https://doi.org/10.1111/j.1461-0248.2007.01149.x" TargetMode="External" /><Relationship Type="http://schemas.openxmlformats.org/officeDocument/2006/relationships/hyperlink" Id="rId47" Target="https://doi.org/10.1111/j.1461-0248.2009.01285.x" TargetMode="External" /><Relationship Type="http://schemas.openxmlformats.org/officeDocument/2006/relationships/hyperlink" Id="rId73" Target="https://doi.org/10.1111/j.2007.0030-1299.15559.x" TargetMode="External" /><Relationship Type="http://schemas.openxmlformats.org/officeDocument/2006/relationships/hyperlink" Id="rId63" Target="https://doi.org/10.1126/science.1060284" TargetMode="External" /><Relationship Type="http://schemas.openxmlformats.org/officeDocument/2006/relationships/hyperlink" Id="rId44" Target="https://doi.org/10.1126/science.281.5381.1366" TargetMode="External" /><Relationship Type="http://schemas.openxmlformats.org/officeDocument/2006/relationships/hyperlink" Id="rId62" Target="https://doi.org/10.1126/science.aaf8957" TargetMode="External" /><Relationship Type="http://schemas.openxmlformats.org/officeDocument/2006/relationships/hyperlink" Id="rId71" Target="https://doi.org/10.1146/annurev-ecolsys-120213-091917" TargetMode="External" /><Relationship Type="http://schemas.openxmlformats.org/officeDocument/2006/relationships/hyperlink" Id="rId49" Target="https://doi.org/10.1146/annurev.ecolsys.31.1.343" TargetMode="External" /><Relationship Type="http://schemas.openxmlformats.org/officeDocument/2006/relationships/hyperlink" Id="rId72" Target="https://doi.org/10.1177/0962280206074463" TargetMode="External" /><Relationship Type="http://schemas.openxmlformats.org/officeDocument/2006/relationships/hyperlink" Id="rId57" Target="https://doi.org/10.1186/s40663-017-0126-7" TargetMode="External" /><Relationship Type="http://schemas.openxmlformats.org/officeDocument/2006/relationships/hyperlink" Id="rId41" Target="https://doi.org/10.1371/journal.pone.0063678" TargetMode="External" /><Relationship Type="http://schemas.openxmlformats.org/officeDocument/2006/relationships/hyperlink" Id="rId59" Target="https://doi.org/10.2307/1934352" TargetMode="External" /><Relationship Type="http://schemas.openxmlformats.org/officeDocument/2006/relationships/hyperlink" Id="rId50" Target="https://doi.org/10.2307/2388156" TargetMode="External" /><Relationship Type="http://schemas.openxmlformats.org/officeDocument/2006/relationships/hyperlink" Id="rId52" Target="https://doi.org/10.2307/3868116" TargetMode="External" /><Relationship Type="http://schemas.openxmlformats.org/officeDocument/2006/relationships/hyperlink" Id="rId54" Target="https://doi.org/10.5194/bg-14-353-2017" TargetMode="External" /><Relationship Type="http://schemas.openxmlformats.org/officeDocument/2006/relationships/hyperlink" Id="rId65" Target="https://doi.org/10.7554/eLife.21394" TargetMode="External" /><Relationship Type="http://schemas.openxmlformats.org/officeDocument/2006/relationships/hyperlink" Id="rId22"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dcterms:created xsi:type="dcterms:W3CDTF">2018-08-01T18:00:49Z</dcterms:created>
  <dcterms:modified xsi:type="dcterms:W3CDTF">2018-08-01T18:00:49Z</dcterms:modified>
</cp:coreProperties>
</file>