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6000" w:rsidRPr="008E6000" w:rsidRDefault="008E6000" w:rsidP="008E6000">
      <w:pPr>
        <w:rPr>
          <w:b/>
          <w:bCs/>
          <w:sz w:val="28"/>
          <w:szCs w:val="28"/>
        </w:rPr>
      </w:pPr>
      <w:r w:rsidRPr="008E6000">
        <w:rPr>
          <w:b/>
          <w:bCs/>
          <w:sz w:val="28"/>
          <w:szCs w:val="28"/>
        </w:rPr>
        <w:t>Desarrollo y Validación Cross-Market de una Estrategia de Trading Automatizada de Reversión a la Media</w:t>
      </w:r>
    </w:p>
    <w:p w:rsidR="008E6000" w:rsidRPr="008E6000" w:rsidRDefault="008E6000" w:rsidP="008E6000">
      <w:pPr>
        <w:rPr>
          <w:b/>
          <w:bCs/>
          <w:sz w:val="28"/>
          <w:szCs w:val="28"/>
        </w:rPr>
      </w:pPr>
      <w:r w:rsidRPr="008E6000">
        <w:rPr>
          <w:b/>
          <w:bCs/>
          <w:sz w:val="28"/>
          <w:szCs w:val="28"/>
        </w:rPr>
        <w:t>Resumen</w:t>
      </w:r>
    </w:p>
    <w:p w:rsidR="008E6000" w:rsidRPr="008E6000" w:rsidRDefault="008E6000" w:rsidP="008E6000">
      <w:pPr>
        <w:rPr>
          <w:sz w:val="28"/>
          <w:szCs w:val="28"/>
        </w:rPr>
      </w:pPr>
      <w:r w:rsidRPr="008E6000">
        <w:rPr>
          <w:sz w:val="28"/>
          <w:szCs w:val="28"/>
        </w:rPr>
        <w:t xml:space="preserve">Este estudio presenta el desarrollo y validación de AMRS BETA1, una estrategia automatizada de reversión a la media diseñada para mercados forex. La estrategia emplea EMA20 como nivel dinámico de soporte/resistencia, bandas de entrada basadas en ATR, y filtrado por diferencial de Indicadores Direccionales (DI) para identificar setups de alta probabilidad de reversión. Se realizó validación </w:t>
      </w:r>
      <w:proofErr w:type="spellStart"/>
      <w:r w:rsidRPr="008E6000">
        <w:rPr>
          <w:sz w:val="28"/>
          <w:szCs w:val="28"/>
        </w:rPr>
        <w:t>cross</w:t>
      </w:r>
      <w:proofErr w:type="spellEnd"/>
      <w:r w:rsidRPr="008E6000">
        <w:rPr>
          <w:sz w:val="28"/>
          <w:szCs w:val="28"/>
        </w:rPr>
        <w:t xml:space="preserve">-market en EURUSD, GBPUSD y USDJPY durante un período de 6.8 años (2019-2025), con análisis exhaustivo de </w:t>
      </w:r>
      <w:proofErr w:type="spellStart"/>
      <w:r w:rsidRPr="008E6000">
        <w:rPr>
          <w:sz w:val="28"/>
          <w:szCs w:val="28"/>
        </w:rPr>
        <w:t>timeframes</w:t>
      </w:r>
      <w:proofErr w:type="spellEnd"/>
      <w:r w:rsidRPr="008E6000">
        <w:rPr>
          <w:sz w:val="28"/>
          <w:szCs w:val="28"/>
        </w:rPr>
        <w:t xml:space="preserve"> H1 y H4. El sistema optimizado logró esperanza matemática positiva consistente en todos los instrumentos testados, con las tres configuraciones principales generando 2,122 pips anuales combinados.</w:t>
      </w:r>
    </w:p>
    <w:p w:rsidR="008E6000" w:rsidRPr="008E6000" w:rsidRDefault="008E6000" w:rsidP="008E6000">
      <w:pPr>
        <w:rPr>
          <w:b/>
          <w:bCs/>
          <w:sz w:val="28"/>
          <w:szCs w:val="28"/>
        </w:rPr>
      </w:pPr>
      <w:r w:rsidRPr="008E6000">
        <w:rPr>
          <w:b/>
          <w:bCs/>
          <w:sz w:val="28"/>
          <w:szCs w:val="28"/>
        </w:rPr>
        <w:t>Metodología</w:t>
      </w:r>
    </w:p>
    <w:p w:rsidR="008E6000" w:rsidRPr="008E6000" w:rsidRDefault="008E6000" w:rsidP="008E6000">
      <w:pPr>
        <w:rPr>
          <w:sz w:val="28"/>
          <w:szCs w:val="28"/>
        </w:rPr>
      </w:pPr>
      <w:r w:rsidRPr="008E6000">
        <w:rPr>
          <w:b/>
          <w:bCs/>
          <w:sz w:val="28"/>
          <w:szCs w:val="28"/>
        </w:rPr>
        <w:t>Marco Estratégico</w:t>
      </w:r>
      <w:r w:rsidRPr="008E6000">
        <w:rPr>
          <w:sz w:val="28"/>
          <w:szCs w:val="28"/>
        </w:rPr>
        <w:t xml:space="preserve"> La estrategia de reversión a la media opera bajo el principio de que el precio tiende a revertir hacia su media móvil después de períodos de sobreextensión. El sistema utiliza EMA20 como punto de referencia, con condiciones de entrada que se activan cuando el precio se aleja de la EMA por umbrales basados en ATR sin retornar. Las señales de entrada se generan a 2.3 ATR de distancia desde EMA20, con stop </w:t>
      </w:r>
      <w:proofErr w:type="spellStart"/>
      <w:r w:rsidRPr="008E6000">
        <w:rPr>
          <w:sz w:val="28"/>
          <w:szCs w:val="28"/>
        </w:rPr>
        <w:t>losses</w:t>
      </w:r>
      <w:proofErr w:type="spellEnd"/>
      <w:r w:rsidRPr="008E6000">
        <w:rPr>
          <w:sz w:val="28"/>
          <w:szCs w:val="28"/>
        </w:rPr>
        <w:t xml:space="preserve"> ubicados a 3.0 ATR y take </w:t>
      </w:r>
      <w:proofErr w:type="spellStart"/>
      <w:r w:rsidRPr="008E6000">
        <w:rPr>
          <w:sz w:val="28"/>
          <w:szCs w:val="28"/>
        </w:rPr>
        <w:t>profits</w:t>
      </w:r>
      <w:proofErr w:type="spellEnd"/>
      <w:r w:rsidRPr="008E6000">
        <w:rPr>
          <w:sz w:val="28"/>
          <w:szCs w:val="28"/>
        </w:rPr>
        <w:t xml:space="preserve"> calculados dinámicamente.</w:t>
      </w:r>
    </w:p>
    <w:p w:rsidR="008E6000" w:rsidRPr="008E6000" w:rsidRDefault="008E6000" w:rsidP="008E6000">
      <w:pPr>
        <w:rPr>
          <w:sz w:val="28"/>
          <w:szCs w:val="28"/>
        </w:rPr>
      </w:pPr>
      <w:r w:rsidRPr="008E6000">
        <w:rPr>
          <w:b/>
          <w:bCs/>
          <w:sz w:val="28"/>
          <w:szCs w:val="28"/>
        </w:rPr>
        <w:t>Mecanismo de Filtrado</w:t>
      </w:r>
      <w:r w:rsidRPr="008E6000">
        <w:rPr>
          <w:sz w:val="28"/>
          <w:szCs w:val="28"/>
        </w:rPr>
        <w:t xml:space="preserve"> Un componente crítico del sistema es el filtro de diferencial DI, que mide la diferencia absoluta entre los Indicadores Direccionales Positivo y Negativo. Este filtro busca evitar entradas durante condiciones de tendencia fuerte donde la reversión a la media es menos probable. El análisis EDA reveló que los setups ganadores exhibían consistentemente valores menores de diferencial DI comparados con los perdedores.</w:t>
      </w:r>
    </w:p>
    <w:p w:rsidR="008E6000" w:rsidRPr="008E6000" w:rsidRDefault="008E6000" w:rsidP="008E6000">
      <w:pPr>
        <w:rPr>
          <w:sz w:val="28"/>
          <w:szCs w:val="28"/>
        </w:rPr>
      </w:pPr>
      <w:r w:rsidRPr="008E6000">
        <w:rPr>
          <w:b/>
          <w:bCs/>
          <w:sz w:val="28"/>
          <w:szCs w:val="28"/>
        </w:rPr>
        <w:t>Proceso de Validación Cross-Market</w:t>
      </w:r>
      <w:r w:rsidRPr="008E6000">
        <w:rPr>
          <w:sz w:val="28"/>
          <w:szCs w:val="28"/>
        </w:rPr>
        <w:t xml:space="preserve"> La metodología de validación involucró </w:t>
      </w:r>
      <w:proofErr w:type="spellStart"/>
      <w:r w:rsidRPr="008E6000">
        <w:rPr>
          <w:sz w:val="28"/>
          <w:szCs w:val="28"/>
        </w:rPr>
        <w:t>testing</w:t>
      </w:r>
      <w:proofErr w:type="spellEnd"/>
      <w:r w:rsidRPr="008E6000">
        <w:rPr>
          <w:sz w:val="28"/>
          <w:szCs w:val="28"/>
        </w:rPr>
        <w:t xml:space="preserve"> sistemático a través de múltiples pares de divisas y </w:t>
      </w:r>
      <w:proofErr w:type="spellStart"/>
      <w:r w:rsidRPr="008E6000">
        <w:rPr>
          <w:sz w:val="28"/>
          <w:szCs w:val="28"/>
        </w:rPr>
        <w:t>timeframes</w:t>
      </w:r>
      <w:proofErr w:type="spellEnd"/>
      <w:r w:rsidRPr="008E6000">
        <w:rPr>
          <w:sz w:val="28"/>
          <w:szCs w:val="28"/>
        </w:rPr>
        <w:t xml:space="preserve"> para asegurar robustez. Cada configuración fue evaluada usando parámetros idénticos, con métricas de performance incluyendo esperanza matemática, </w:t>
      </w:r>
      <w:proofErr w:type="spellStart"/>
      <w:r w:rsidRPr="008E6000">
        <w:rPr>
          <w:sz w:val="28"/>
          <w:szCs w:val="28"/>
        </w:rPr>
        <w:t>win</w:t>
      </w:r>
      <w:proofErr w:type="spellEnd"/>
      <w:r w:rsidRPr="008E6000">
        <w:rPr>
          <w:sz w:val="28"/>
          <w:szCs w:val="28"/>
        </w:rPr>
        <w:t xml:space="preserve"> rate, profit factor y </w:t>
      </w:r>
      <w:proofErr w:type="spellStart"/>
      <w:r w:rsidRPr="008E6000">
        <w:rPr>
          <w:sz w:val="28"/>
          <w:szCs w:val="28"/>
        </w:rPr>
        <w:t>maximum</w:t>
      </w:r>
      <w:proofErr w:type="spellEnd"/>
      <w:r w:rsidRPr="008E6000">
        <w:rPr>
          <w:sz w:val="28"/>
          <w:szCs w:val="28"/>
        </w:rPr>
        <w:t xml:space="preserve"> drawdown. Se realizaron ajustes técnicos menores para acomodar diferentes requerimientos de precisión decimal entre pares de divisas.</w:t>
      </w:r>
    </w:p>
    <w:p w:rsidR="008E6000" w:rsidRPr="008E6000" w:rsidRDefault="008E6000" w:rsidP="008E6000">
      <w:pPr>
        <w:rPr>
          <w:b/>
          <w:bCs/>
          <w:sz w:val="28"/>
          <w:szCs w:val="28"/>
        </w:rPr>
      </w:pPr>
      <w:r w:rsidRPr="008E6000">
        <w:rPr>
          <w:b/>
          <w:bCs/>
          <w:sz w:val="28"/>
          <w:szCs w:val="28"/>
        </w:rPr>
        <w:t>Resultados</w:t>
      </w:r>
    </w:p>
    <w:p w:rsidR="008E6000" w:rsidRPr="008E6000" w:rsidRDefault="008E6000" w:rsidP="008E6000">
      <w:pPr>
        <w:rPr>
          <w:sz w:val="28"/>
          <w:szCs w:val="28"/>
        </w:rPr>
      </w:pPr>
      <w:r w:rsidRPr="008E6000">
        <w:rPr>
          <w:b/>
          <w:bCs/>
          <w:sz w:val="28"/>
          <w:szCs w:val="28"/>
        </w:rPr>
        <w:t xml:space="preserve">Optimización de </w:t>
      </w:r>
      <w:proofErr w:type="spellStart"/>
      <w:r w:rsidRPr="008E6000">
        <w:rPr>
          <w:b/>
          <w:bCs/>
          <w:sz w:val="28"/>
          <w:szCs w:val="28"/>
        </w:rPr>
        <w:t>Timeframes</w:t>
      </w:r>
      <w:proofErr w:type="spellEnd"/>
      <w:r w:rsidRPr="008E6000">
        <w:rPr>
          <w:sz w:val="28"/>
          <w:szCs w:val="28"/>
        </w:rPr>
        <w:t xml:space="preserve"> El análisis reveló performance superior consistente del </w:t>
      </w:r>
      <w:proofErr w:type="spellStart"/>
      <w:r w:rsidRPr="008E6000">
        <w:rPr>
          <w:sz w:val="28"/>
          <w:szCs w:val="28"/>
        </w:rPr>
        <w:t>timeframe</w:t>
      </w:r>
      <w:proofErr w:type="spellEnd"/>
      <w:r w:rsidRPr="008E6000">
        <w:rPr>
          <w:sz w:val="28"/>
          <w:szCs w:val="28"/>
        </w:rPr>
        <w:t xml:space="preserve"> H1 sobre H4 en todos los pares testados. Las configuraciones H1 demostraron retornos anuales 69-118% superiores manteniendo métricas de riesgo comparables.</w:t>
      </w:r>
    </w:p>
    <w:p w:rsidR="008E6000" w:rsidRPr="008E6000" w:rsidRDefault="008E6000" w:rsidP="008E6000">
      <w:pPr>
        <w:rPr>
          <w:sz w:val="28"/>
          <w:szCs w:val="28"/>
        </w:rPr>
      </w:pPr>
      <w:r w:rsidRPr="008E6000">
        <w:rPr>
          <w:b/>
          <w:bCs/>
          <w:sz w:val="28"/>
          <w:szCs w:val="28"/>
        </w:rPr>
        <w:t>Optimización de Filtros</w:t>
      </w:r>
      <w:r w:rsidRPr="008E6000">
        <w:rPr>
          <w:sz w:val="28"/>
          <w:szCs w:val="28"/>
        </w:rPr>
        <w:t xml:space="preserve"> El análisis EDA identificó DI_SPREAD_MAX = 18 como el umbral óptimo universal, balanceando calidad de setups con frecuencia de oportunidades. Filtros más restrictivos (DI &lt; 15) mejoraron la calidad por </w:t>
      </w:r>
      <w:r w:rsidRPr="008E6000">
        <w:rPr>
          <w:sz w:val="28"/>
          <w:szCs w:val="28"/>
        </w:rPr>
        <w:t>operación,</w:t>
      </w:r>
      <w:r w:rsidRPr="008E6000">
        <w:rPr>
          <w:sz w:val="28"/>
          <w:szCs w:val="28"/>
        </w:rPr>
        <w:t xml:space="preserve"> pero redujeron significativamente el volumen anual.</w:t>
      </w:r>
    </w:p>
    <w:p w:rsidR="008E6000" w:rsidRDefault="008E6000" w:rsidP="008E6000">
      <w:pPr>
        <w:rPr>
          <w:b/>
          <w:bCs/>
          <w:sz w:val="28"/>
          <w:szCs w:val="28"/>
        </w:rPr>
      </w:pPr>
    </w:p>
    <w:p w:rsidR="008E6000" w:rsidRDefault="008E6000" w:rsidP="008E6000">
      <w:pPr>
        <w:rPr>
          <w:b/>
          <w:bCs/>
          <w:sz w:val="28"/>
          <w:szCs w:val="28"/>
        </w:rPr>
      </w:pPr>
    </w:p>
    <w:p w:rsidR="008E6000" w:rsidRDefault="008E6000" w:rsidP="008E6000">
      <w:pPr>
        <w:rPr>
          <w:b/>
          <w:bCs/>
          <w:sz w:val="28"/>
          <w:szCs w:val="28"/>
        </w:rPr>
      </w:pPr>
    </w:p>
    <w:p w:rsidR="008E6000" w:rsidRDefault="008E6000" w:rsidP="008E6000">
      <w:pPr>
        <w:rPr>
          <w:b/>
          <w:bCs/>
          <w:sz w:val="28"/>
          <w:szCs w:val="28"/>
        </w:rPr>
      </w:pPr>
    </w:p>
    <w:p w:rsidR="008E6000" w:rsidRDefault="008E6000" w:rsidP="008E6000">
      <w:pPr>
        <w:rPr>
          <w:b/>
          <w:bCs/>
          <w:sz w:val="28"/>
          <w:szCs w:val="28"/>
        </w:rPr>
      </w:pPr>
    </w:p>
    <w:p w:rsidR="008E6000" w:rsidRPr="008E6000" w:rsidRDefault="008E6000" w:rsidP="008E6000">
      <w:pPr>
        <w:rPr>
          <w:b/>
          <w:bCs/>
          <w:sz w:val="28"/>
          <w:szCs w:val="28"/>
        </w:rPr>
      </w:pPr>
      <w:r w:rsidRPr="008E6000">
        <w:rPr>
          <w:b/>
          <w:bCs/>
          <w:sz w:val="28"/>
          <w:szCs w:val="28"/>
        </w:rPr>
        <w:lastRenderedPageBreak/>
        <w:t>Resultados Completos - Todas las Configuraciones</w:t>
      </w:r>
    </w:p>
    <w:p w:rsidR="006F40A5" w:rsidRDefault="008E6000">
      <w:pPr>
        <w:rPr>
          <w:sz w:val="28"/>
          <w:szCs w:val="28"/>
        </w:rPr>
      </w:pPr>
      <w:r>
        <w:rPr>
          <w:noProof/>
        </w:rPr>
        <w:drawing>
          <wp:inline distT="0" distB="0" distL="0" distR="0" wp14:anchorId="1A15D9F0" wp14:editId="5A0793A7">
            <wp:extent cx="6858000" cy="34626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3462655"/>
                    </a:xfrm>
                    <a:prstGeom prst="rect">
                      <a:avLst/>
                    </a:prstGeom>
                  </pic:spPr>
                </pic:pic>
              </a:graphicData>
            </a:graphic>
          </wp:inline>
        </w:drawing>
      </w:r>
    </w:p>
    <w:p w:rsidR="008E6000" w:rsidRDefault="008E6000">
      <w:pPr>
        <w:rPr>
          <w:sz w:val="28"/>
          <w:szCs w:val="28"/>
        </w:rPr>
      </w:pPr>
    </w:p>
    <w:p w:rsidR="008E6000" w:rsidRPr="008E6000" w:rsidRDefault="008E6000" w:rsidP="008E6000">
      <w:pPr>
        <w:rPr>
          <w:b/>
          <w:bCs/>
          <w:sz w:val="28"/>
          <w:szCs w:val="28"/>
        </w:rPr>
      </w:pPr>
      <w:r w:rsidRPr="008E6000">
        <w:rPr>
          <w:b/>
          <w:bCs/>
          <w:sz w:val="28"/>
          <w:szCs w:val="28"/>
        </w:rPr>
        <w:t>Análisis de ROI y Gestión de Riesgo</w:t>
      </w:r>
    </w:p>
    <w:p w:rsidR="008E6000" w:rsidRPr="008E6000" w:rsidRDefault="008E6000" w:rsidP="008E6000">
      <w:pPr>
        <w:rPr>
          <w:sz w:val="28"/>
          <w:szCs w:val="28"/>
        </w:rPr>
      </w:pPr>
      <w:r w:rsidRPr="008E6000">
        <w:rPr>
          <w:b/>
          <w:bCs/>
          <w:sz w:val="28"/>
          <w:szCs w:val="28"/>
        </w:rPr>
        <w:t>Proyección Conservadora</w:t>
      </w:r>
      <w:r w:rsidRPr="008E6000">
        <w:rPr>
          <w:sz w:val="28"/>
          <w:szCs w:val="28"/>
        </w:rPr>
        <w:t xml:space="preserve"> El portfolio óptimo combinando GBPUSD H1, USDJPY H1 y EURUSD H1 genera +2,122 pips anuales. La conversión a ROI depende de la gestión de riesgo y el capital disponible.</w:t>
      </w:r>
    </w:p>
    <w:p w:rsidR="008E6000" w:rsidRPr="008E6000" w:rsidRDefault="008E6000" w:rsidP="008E6000">
      <w:pPr>
        <w:rPr>
          <w:sz w:val="28"/>
          <w:szCs w:val="28"/>
        </w:rPr>
      </w:pPr>
      <w:r w:rsidRPr="008E6000">
        <w:rPr>
          <w:b/>
          <w:bCs/>
          <w:sz w:val="28"/>
          <w:szCs w:val="28"/>
        </w:rPr>
        <w:t>Metodología de Cálculo ROI</w:t>
      </w:r>
      <w:r w:rsidRPr="008E6000">
        <w:rPr>
          <w:sz w:val="28"/>
          <w:szCs w:val="28"/>
        </w:rPr>
        <w:t xml:space="preserve"> La estimación utiliza gestión de riesgo estándar de 1% por operación. Para una cuenta de $25,000:</w:t>
      </w:r>
    </w:p>
    <w:p w:rsidR="008E6000" w:rsidRPr="008E6000" w:rsidRDefault="008E6000" w:rsidP="008E6000">
      <w:pPr>
        <w:numPr>
          <w:ilvl w:val="0"/>
          <w:numId w:val="1"/>
        </w:numPr>
        <w:rPr>
          <w:sz w:val="28"/>
          <w:szCs w:val="28"/>
        </w:rPr>
      </w:pPr>
      <w:r w:rsidRPr="008E6000">
        <w:rPr>
          <w:sz w:val="28"/>
          <w:szCs w:val="28"/>
        </w:rPr>
        <w:t>Riesgo por trade: 1% = $250</w:t>
      </w:r>
    </w:p>
    <w:p w:rsidR="008E6000" w:rsidRPr="008E6000" w:rsidRDefault="008E6000" w:rsidP="008E6000">
      <w:pPr>
        <w:numPr>
          <w:ilvl w:val="0"/>
          <w:numId w:val="1"/>
        </w:numPr>
        <w:rPr>
          <w:sz w:val="28"/>
          <w:szCs w:val="28"/>
        </w:rPr>
      </w:pPr>
      <w:r w:rsidRPr="008E6000">
        <w:rPr>
          <w:sz w:val="28"/>
          <w:szCs w:val="28"/>
        </w:rPr>
        <w:t>Stop Loss promedio: ~50 pips</w:t>
      </w:r>
    </w:p>
    <w:p w:rsidR="008E6000" w:rsidRPr="008E6000" w:rsidRDefault="008E6000" w:rsidP="008E6000">
      <w:pPr>
        <w:numPr>
          <w:ilvl w:val="0"/>
          <w:numId w:val="1"/>
        </w:numPr>
        <w:rPr>
          <w:sz w:val="28"/>
          <w:szCs w:val="28"/>
        </w:rPr>
      </w:pPr>
      <w:r w:rsidRPr="008E6000">
        <w:rPr>
          <w:sz w:val="28"/>
          <w:szCs w:val="28"/>
        </w:rPr>
        <w:t>Tamaño de posición: $250 ÷ 50 pips = $5/</w:t>
      </w:r>
      <w:proofErr w:type="spellStart"/>
      <w:r w:rsidRPr="008E6000">
        <w:rPr>
          <w:sz w:val="28"/>
          <w:szCs w:val="28"/>
        </w:rPr>
        <w:t>pip</w:t>
      </w:r>
      <w:proofErr w:type="spellEnd"/>
      <w:r w:rsidRPr="008E6000">
        <w:rPr>
          <w:sz w:val="28"/>
          <w:szCs w:val="28"/>
        </w:rPr>
        <w:t xml:space="preserve"> (0.5 lotes estándar)</w:t>
      </w:r>
    </w:p>
    <w:p w:rsidR="008E6000" w:rsidRPr="008E6000" w:rsidRDefault="008E6000" w:rsidP="008E6000">
      <w:pPr>
        <w:numPr>
          <w:ilvl w:val="0"/>
          <w:numId w:val="1"/>
        </w:numPr>
        <w:rPr>
          <w:sz w:val="28"/>
          <w:szCs w:val="28"/>
        </w:rPr>
      </w:pPr>
      <w:r w:rsidRPr="008E6000">
        <w:rPr>
          <w:sz w:val="28"/>
          <w:szCs w:val="28"/>
        </w:rPr>
        <w:t>Ganancia anual proyectada: 2,122 pips × $5/</w:t>
      </w:r>
      <w:proofErr w:type="spellStart"/>
      <w:r w:rsidRPr="008E6000">
        <w:rPr>
          <w:sz w:val="28"/>
          <w:szCs w:val="28"/>
        </w:rPr>
        <w:t>pip</w:t>
      </w:r>
      <w:proofErr w:type="spellEnd"/>
      <w:r w:rsidRPr="008E6000">
        <w:rPr>
          <w:sz w:val="28"/>
          <w:szCs w:val="28"/>
        </w:rPr>
        <w:t xml:space="preserve"> = $10,610</w:t>
      </w:r>
    </w:p>
    <w:p w:rsidR="008E6000" w:rsidRPr="008E6000" w:rsidRDefault="008E6000" w:rsidP="008E6000">
      <w:pPr>
        <w:numPr>
          <w:ilvl w:val="0"/>
          <w:numId w:val="1"/>
        </w:numPr>
        <w:rPr>
          <w:sz w:val="28"/>
          <w:szCs w:val="28"/>
        </w:rPr>
      </w:pPr>
      <w:r w:rsidRPr="008E6000">
        <w:rPr>
          <w:sz w:val="28"/>
          <w:szCs w:val="28"/>
        </w:rPr>
        <w:t>ROI bruto: $10,610 ÷ $25,000 = 42.4%</w:t>
      </w:r>
    </w:p>
    <w:p w:rsidR="008E6000" w:rsidRPr="008E6000" w:rsidRDefault="008E6000" w:rsidP="008E6000">
      <w:pPr>
        <w:rPr>
          <w:sz w:val="28"/>
          <w:szCs w:val="28"/>
        </w:rPr>
      </w:pPr>
      <w:r w:rsidRPr="008E6000">
        <w:rPr>
          <w:b/>
          <w:bCs/>
          <w:sz w:val="28"/>
          <w:szCs w:val="28"/>
        </w:rPr>
        <w:t>Factores de Ajuste para Trading Real</w:t>
      </w:r>
      <w:r w:rsidRPr="008E6000">
        <w:rPr>
          <w:sz w:val="28"/>
          <w:szCs w:val="28"/>
        </w:rPr>
        <w:t xml:space="preserve"> El backtesting requiere ajustes realistas para implementación algorítmica:</w:t>
      </w:r>
    </w:p>
    <w:p w:rsidR="008E6000" w:rsidRPr="008E6000" w:rsidRDefault="008E6000" w:rsidP="008E6000">
      <w:pPr>
        <w:numPr>
          <w:ilvl w:val="0"/>
          <w:numId w:val="2"/>
        </w:numPr>
        <w:rPr>
          <w:sz w:val="28"/>
          <w:szCs w:val="28"/>
        </w:rPr>
      </w:pPr>
      <w:r w:rsidRPr="008E6000">
        <w:rPr>
          <w:sz w:val="28"/>
          <w:szCs w:val="28"/>
        </w:rPr>
        <w:t>Slippage: -5%</w:t>
      </w:r>
    </w:p>
    <w:p w:rsidR="008E6000" w:rsidRPr="008E6000" w:rsidRDefault="008E6000" w:rsidP="008E6000">
      <w:pPr>
        <w:numPr>
          <w:ilvl w:val="0"/>
          <w:numId w:val="2"/>
        </w:numPr>
        <w:rPr>
          <w:sz w:val="28"/>
          <w:szCs w:val="28"/>
        </w:rPr>
      </w:pPr>
      <w:r w:rsidRPr="008E6000">
        <w:rPr>
          <w:sz w:val="28"/>
          <w:szCs w:val="28"/>
        </w:rPr>
        <w:t>Spreads: -10%</w:t>
      </w:r>
    </w:p>
    <w:p w:rsidR="008E6000" w:rsidRPr="008E6000" w:rsidRDefault="008E6000" w:rsidP="008E6000">
      <w:pPr>
        <w:numPr>
          <w:ilvl w:val="0"/>
          <w:numId w:val="2"/>
        </w:numPr>
        <w:rPr>
          <w:sz w:val="28"/>
          <w:szCs w:val="28"/>
        </w:rPr>
      </w:pPr>
      <w:r w:rsidRPr="008E6000">
        <w:rPr>
          <w:sz w:val="28"/>
          <w:szCs w:val="28"/>
        </w:rPr>
        <w:t>Ejecución imperfecta: -10%</w:t>
      </w:r>
    </w:p>
    <w:p w:rsidR="008E6000" w:rsidRPr="008E6000" w:rsidRDefault="008E6000" w:rsidP="008E6000">
      <w:pPr>
        <w:numPr>
          <w:ilvl w:val="0"/>
          <w:numId w:val="2"/>
        </w:numPr>
        <w:rPr>
          <w:sz w:val="28"/>
          <w:szCs w:val="28"/>
        </w:rPr>
      </w:pPr>
      <w:r w:rsidRPr="008E6000">
        <w:rPr>
          <w:sz w:val="28"/>
          <w:szCs w:val="28"/>
        </w:rPr>
        <w:t>Factor de reducción total: ~25%</w:t>
      </w:r>
    </w:p>
    <w:p w:rsidR="008E6000" w:rsidRPr="008E6000" w:rsidRDefault="008E6000" w:rsidP="008E6000">
      <w:pPr>
        <w:numPr>
          <w:ilvl w:val="0"/>
          <w:numId w:val="2"/>
        </w:numPr>
        <w:rPr>
          <w:sz w:val="28"/>
          <w:szCs w:val="28"/>
        </w:rPr>
      </w:pPr>
      <w:r w:rsidRPr="008E6000">
        <w:rPr>
          <w:sz w:val="28"/>
          <w:szCs w:val="28"/>
        </w:rPr>
        <w:t>ROI ajustado: 42.4% × 0.75 = 31.8%</w:t>
      </w:r>
    </w:p>
    <w:p w:rsidR="008E6000" w:rsidRPr="008E6000" w:rsidRDefault="008E6000" w:rsidP="008E6000">
      <w:pPr>
        <w:rPr>
          <w:sz w:val="28"/>
          <w:szCs w:val="28"/>
        </w:rPr>
      </w:pPr>
      <w:r w:rsidRPr="008E6000">
        <w:rPr>
          <w:b/>
          <w:bCs/>
          <w:sz w:val="28"/>
          <w:szCs w:val="28"/>
        </w:rPr>
        <w:t>Proyecciones ROI Según Gestión de Riesgo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018"/>
        <w:gridCol w:w="1567"/>
      </w:tblGrid>
      <w:tr w:rsidR="008E6000" w:rsidRPr="008E6000" w:rsidTr="008E6000">
        <w:trPr>
          <w:tblHeader/>
          <w:tblCellSpacing w:w="15" w:type="dxa"/>
        </w:trPr>
        <w:tc>
          <w:tcPr>
            <w:tcW w:w="0" w:type="auto"/>
            <w:vAlign w:val="center"/>
            <w:hideMark/>
          </w:tcPr>
          <w:p w:rsidR="008E6000" w:rsidRPr="008E6000" w:rsidRDefault="008E6000" w:rsidP="008E6000">
            <w:pPr>
              <w:rPr>
                <w:b/>
                <w:bCs/>
                <w:sz w:val="28"/>
                <w:szCs w:val="28"/>
              </w:rPr>
            </w:pPr>
            <w:r w:rsidRPr="008E6000">
              <w:rPr>
                <w:b/>
                <w:bCs/>
                <w:sz w:val="28"/>
                <w:szCs w:val="28"/>
              </w:rPr>
              <w:t>Gestión de Riesgo</w:t>
            </w:r>
          </w:p>
        </w:tc>
        <w:tc>
          <w:tcPr>
            <w:tcW w:w="0" w:type="auto"/>
            <w:vAlign w:val="center"/>
            <w:hideMark/>
          </w:tcPr>
          <w:p w:rsidR="008E6000" w:rsidRPr="008E6000" w:rsidRDefault="008E6000" w:rsidP="008E6000">
            <w:pPr>
              <w:rPr>
                <w:b/>
                <w:bCs/>
                <w:sz w:val="28"/>
                <w:szCs w:val="28"/>
              </w:rPr>
            </w:pPr>
            <w:r w:rsidRPr="008E6000">
              <w:rPr>
                <w:b/>
                <w:bCs/>
                <w:sz w:val="28"/>
                <w:szCs w:val="28"/>
              </w:rPr>
              <w:t>ROI Conservador</w:t>
            </w:r>
          </w:p>
        </w:tc>
        <w:tc>
          <w:tcPr>
            <w:tcW w:w="0" w:type="auto"/>
            <w:vAlign w:val="center"/>
            <w:hideMark/>
          </w:tcPr>
          <w:p w:rsidR="008E6000" w:rsidRPr="008E6000" w:rsidRDefault="008E6000" w:rsidP="008E6000">
            <w:pPr>
              <w:rPr>
                <w:b/>
                <w:bCs/>
                <w:sz w:val="28"/>
                <w:szCs w:val="28"/>
              </w:rPr>
            </w:pPr>
            <w:r w:rsidRPr="008E6000">
              <w:rPr>
                <w:b/>
                <w:bCs/>
                <w:sz w:val="28"/>
                <w:szCs w:val="28"/>
              </w:rPr>
              <w:t>ROI Agresivo</w:t>
            </w:r>
          </w:p>
        </w:tc>
      </w:tr>
      <w:tr w:rsidR="008E6000" w:rsidRPr="008E6000" w:rsidTr="008E6000">
        <w:trPr>
          <w:tblCellSpacing w:w="15" w:type="dxa"/>
        </w:trPr>
        <w:tc>
          <w:tcPr>
            <w:tcW w:w="0" w:type="auto"/>
            <w:vAlign w:val="center"/>
            <w:hideMark/>
          </w:tcPr>
          <w:p w:rsidR="008E6000" w:rsidRPr="008E6000" w:rsidRDefault="008E6000" w:rsidP="008E6000">
            <w:pPr>
              <w:rPr>
                <w:sz w:val="28"/>
                <w:szCs w:val="28"/>
              </w:rPr>
            </w:pPr>
            <w:r w:rsidRPr="008E6000">
              <w:rPr>
                <w:sz w:val="28"/>
                <w:szCs w:val="28"/>
              </w:rPr>
              <w:t>0.5% por trade</w:t>
            </w:r>
          </w:p>
        </w:tc>
        <w:tc>
          <w:tcPr>
            <w:tcW w:w="0" w:type="auto"/>
            <w:vAlign w:val="center"/>
            <w:hideMark/>
          </w:tcPr>
          <w:p w:rsidR="008E6000" w:rsidRPr="008E6000" w:rsidRDefault="008E6000" w:rsidP="008E6000">
            <w:pPr>
              <w:rPr>
                <w:sz w:val="28"/>
                <w:szCs w:val="28"/>
              </w:rPr>
            </w:pPr>
            <w:r w:rsidRPr="008E6000">
              <w:rPr>
                <w:sz w:val="28"/>
                <w:szCs w:val="28"/>
              </w:rPr>
              <w:t>15-20%</w:t>
            </w:r>
          </w:p>
        </w:tc>
        <w:tc>
          <w:tcPr>
            <w:tcW w:w="0" w:type="auto"/>
            <w:vAlign w:val="center"/>
            <w:hideMark/>
          </w:tcPr>
          <w:p w:rsidR="008E6000" w:rsidRPr="008E6000" w:rsidRDefault="008E6000" w:rsidP="008E6000">
            <w:pPr>
              <w:rPr>
                <w:sz w:val="28"/>
                <w:szCs w:val="28"/>
              </w:rPr>
            </w:pPr>
            <w:r w:rsidRPr="008E6000">
              <w:rPr>
                <w:sz w:val="28"/>
                <w:szCs w:val="28"/>
              </w:rPr>
              <w:t>25-30%</w:t>
            </w:r>
          </w:p>
        </w:tc>
      </w:tr>
      <w:tr w:rsidR="008E6000" w:rsidRPr="008E6000" w:rsidTr="008E6000">
        <w:trPr>
          <w:tblCellSpacing w:w="15" w:type="dxa"/>
        </w:trPr>
        <w:tc>
          <w:tcPr>
            <w:tcW w:w="0" w:type="auto"/>
            <w:vAlign w:val="center"/>
            <w:hideMark/>
          </w:tcPr>
          <w:p w:rsidR="008E6000" w:rsidRPr="008E6000" w:rsidRDefault="008E6000" w:rsidP="008E6000">
            <w:pPr>
              <w:rPr>
                <w:sz w:val="28"/>
                <w:szCs w:val="28"/>
              </w:rPr>
            </w:pPr>
            <w:r w:rsidRPr="008E6000">
              <w:rPr>
                <w:sz w:val="28"/>
                <w:szCs w:val="28"/>
              </w:rPr>
              <w:t>1.0% por trade</w:t>
            </w:r>
          </w:p>
        </w:tc>
        <w:tc>
          <w:tcPr>
            <w:tcW w:w="0" w:type="auto"/>
            <w:vAlign w:val="center"/>
            <w:hideMark/>
          </w:tcPr>
          <w:p w:rsidR="008E6000" w:rsidRPr="008E6000" w:rsidRDefault="008E6000" w:rsidP="008E6000">
            <w:pPr>
              <w:rPr>
                <w:sz w:val="28"/>
                <w:szCs w:val="28"/>
              </w:rPr>
            </w:pPr>
            <w:r w:rsidRPr="008E6000">
              <w:rPr>
                <w:sz w:val="28"/>
                <w:szCs w:val="28"/>
              </w:rPr>
              <w:t>25-35%</w:t>
            </w:r>
          </w:p>
        </w:tc>
        <w:tc>
          <w:tcPr>
            <w:tcW w:w="0" w:type="auto"/>
            <w:vAlign w:val="center"/>
            <w:hideMark/>
          </w:tcPr>
          <w:p w:rsidR="008E6000" w:rsidRPr="008E6000" w:rsidRDefault="008E6000" w:rsidP="008E6000">
            <w:pPr>
              <w:rPr>
                <w:sz w:val="28"/>
                <w:szCs w:val="28"/>
              </w:rPr>
            </w:pPr>
            <w:r w:rsidRPr="008E6000">
              <w:rPr>
                <w:sz w:val="28"/>
                <w:szCs w:val="28"/>
              </w:rPr>
              <w:t>40-50%</w:t>
            </w:r>
          </w:p>
        </w:tc>
      </w:tr>
      <w:tr w:rsidR="008E6000" w:rsidRPr="008E6000" w:rsidTr="008E6000">
        <w:trPr>
          <w:tblCellSpacing w:w="15" w:type="dxa"/>
        </w:trPr>
        <w:tc>
          <w:tcPr>
            <w:tcW w:w="0" w:type="auto"/>
            <w:vAlign w:val="center"/>
            <w:hideMark/>
          </w:tcPr>
          <w:p w:rsidR="008E6000" w:rsidRPr="008E6000" w:rsidRDefault="008E6000" w:rsidP="008E6000">
            <w:pPr>
              <w:rPr>
                <w:sz w:val="28"/>
                <w:szCs w:val="28"/>
              </w:rPr>
            </w:pPr>
            <w:r w:rsidRPr="008E6000">
              <w:rPr>
                <w:sz w:val="28"/>
                <w:szCs w:val="28"/>
              </w:rPr>
              <w:t>1.5% por trade</w:t>
            </w:r>
          </w:p>
        </w:tc>
        <w:tc>
          <w:tcPr>
            <w:tcW w:w="0" w:type="auto"/>
            <w:vAlign w:val="center"/>
            <w:hideMark/>
          </w:tcPr>
          <w:p w:rsidR="008E6000" w:rsidRPr="008E6000" w:rsidRDefault="008E6000" w:rsidP="008E6000">
            <w:pPr>
              <w:rPr>
                <w:sz w:val="28"/>
                <w:szCs w:val="28"/>
              </w:rPr>
            </w:pPr>
            <w:r w:rsidRPr="008E6000">
              <w:rPr>
                <w:sz w:val="28"/>
                <w:szCs w:val="28"/>
              </w:rPr>
              <w:t>35-45%</w:t>
            </w:r>
          </w:p>
        </w:tc>
        <w:tc>
          <w:tcPr>
            <w:tcW w:w="0" w:type="auto"/>
            <w:vAlign w:val="center"/>
            <w:hideMark/>
          </w:tcPr>
          <w:p w:rsidR="008E6000" w:rsidRPr="008E6000" w:rsidRDefault="008E6000" w:rsidP="008E6000">
            <w:pPr>
              <w:rPr>
                <w:sz w:val="28"/>
                <w:szCs w:val="28"/>
              </w:rPr>
            </w:pPr>
            <w:r w:rsidRPr="008E6000">
              <w:rPr>
                <w:sz w:val="28"/>
                <w:szCs w:val="28"/>
              </w:rPr>
              <w:t>55-65%</w:t>
            </w:r>
          </w:p>
        </w:tc>
      </w:tr>
    </w:tbl>
    <w:p w:rsidR="008E6000" w:rsidRPr="008E6000" w:rsidRDefault="008E6000" w:rsidP="008E6000">
      <w:pPr>
        <w:rPr>
          <w:sz w:val="28"/>
          <w:szCs w:val="28"/>
        </w:rPr>
      </w:pPr>
      <w:r w:rsidRPr="008E6000">
        <w:rPr>
          <w:b/>
          <w:bCs/>
          <w:sz w:val="28"/>
          <w:szCs w:val="28"/>
        </w:rPr>
        <w:lastRenderedPageBreak/>
        <w:t>Escalabilidad y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611"/>
        <w:gridCol w:w="1114"/>
        <w:gridCol w:w="2627"/>
      </w:tblGrid>
      <w:tr w:rsidR="008E6000" w:rsidRPr="008E6000" w:rsidTr="008E6000">
        <w:trPr>
          <w:tblHeader/>
          <w:tblCellSpacing w:w="15" w:type="dxa"/>
        </w:trPr>
        <w:tc>
          <w:tcPr>
            <w:tcW w:w="0" w:type="auto"/>
            <w:vAlign w:val="center"/>
            <w:hideMark/>
          </w:tcPr>
          <w:p w:rsidR="008E6000" w:rsidRPr="008E6000" w:rsidRDefault="008E6000" w:rsidP="008E6000">
            <w:pPr>
              <w:rPr>
                <w:b/>
                <w:bCs/>
                <w:sz w:val="28"/>
                <w:szCs w:val="28"/>
              </w:rPr>
            </w:pPr>
            <w:r w:rsidRPr="008E6000">
              <w:rPr>
                <w:b/>
                <w:bCs/>
                <w:sz w:val="28"/>
                <w:szCs w:val="28"/>
              </w:rPr>
              <w:t>Capital</w:t>
            </w:r>
          </w:p>
        </w:tc>
        <w:tc>
          <w:tcPr>
            <w:tcW w:w="0" w:type="auto"/>
            <w:vAlign w:val="center"/>
            <w:hideMark/>
          </w:tcPr>
          <w:p w:rsidR="008E6000" w:rsidRPr="008E6000" w:rsidRDefault="008E6000" w:rsidP="008E6000">
            <w:pPr>
              <w:rPr>
                <w:b/>
                <w:bCs/>
                <w:sz w:val="28"/>
                <w:szCs w:val="28"/>
              </w:rPr>
            </w:pPr>
            <w:r w:rsidRPr="008E6000">
              <w:rPr>
                <w:b/>
                <w:bCs/>
                <w:sz w:val="28"/>
                <w:szCs w:val="28"/>
              </w:rPr>
              <w:t>Riesgo/Trade</w:t>
            </w:r>
          </w:p>
        </w:tc>
        <w:tc>
          <w:tcPr>
            <w:tcW w:w="0" w:type="auto"/>
            <w:vAlign w:val="center"/>
            <w:hideMark/>
          </w:tcPr>
          <w:p w:rsidR="008E6000" w:rsidRPr="008E6000" w:rsidRDefault="008E6000" w:rsidP="008E6000">
            <w:pPr>
              <w:rPr>
                <w:b/>
                <w:bCs/>
                <w:sz w:val="28"/>
                <w:szCs w:val="28"/>
              </w:rPr>
            </w:pPr>
            <w:r w:rsidRPr="008E6000">
              <w:rPr>
                <w:b/>
                <w:bCs/>
                <w:sz w:val="28"/>
                <w:szCs w:val="28"/>
              </w:rPr>
              <w:t xml:space="preserve">Valor </w:t>
            </w:r>
            <w:proofErr w:type="spellStart"/>
            <w:r w:rsidRPr="008E6000">
              <w:rPr>
                <w:b/>
                <w:bCs/>
                <w:sz w:val="28"/>
                <w:szCs w:val="28"/>
              </w:rPr>
              <w:t>Pip</w:t>
            </w:r>
            <w:proofErr w:type="spellEnd"/>
          </w:p>
        </w:tc>
        <w:tc>
          <w:tcPr>
            <w:tcW w:w="0" w:type="auto"/>
            <w:vAlign w:val="center"/>
            <w:hideMark/>
          </w:tcPr>
          <w:p w:rsidR="008E6000" w:rsidRPr="008E6000" w:rsidRDefault="008E6000" w:rsidP="008E6000">
            <w:pPr>
              <w:rPr>
                <w:b/>
                <w:bCs/>
                <w:sz w:val="28"/>
                <w:szCs w:val="28"/>
              </w:rPr>
            </w:pPr>
            <w:r w:rsidRPr="008E6000">
              <w:rPr>
                <w:b/>
                <w:bCs/>
                <w:sz w:val="28"/>
                <w:szCs w:val="28"/>
              </w:rPr>
              <w:t>ROI Anual Proyectado</w:t>
            </w:r>
          </w:p>
        </w:tc>
      </w:tr>
      <w:tr w:rsidR="008E6000" w:rsidRPr="008E6000" w:rsidTr="008E6000">
        <w:trPr>
          <w:tblCellSpacing w:w="15" w:type="dxa"/>
        </w:trPr>
        <w:tc>
          <w:tcPr>
            <w:tcW w:w="0" w:type="auto"/>
            <w:vAlign w:val="center"/>
            <w:hideMark/>
          </w:tcPr>
          <w:p w:rsidR="008E6000" w:rsidRPr="008E6000" w:rsidRDefault="008E6000" w:rsidP="008E6000">
            <w:pPr>
              <w:rPr>
                <w:sz w:val="28"/>
                <w:szCs w:val="28"/>
              </w:rPr>
            </w:pPr>
            <w:r w:rsidRPr="008E6000">
              <w:rPr>
                <w:sz w:val="28"/>
                <w:szCs w:val="28"/>
              </w:rPr>
              <w:t>$10,000</w:t>
            </w:r>
          </w:p>
        </w:tc>
        <w:tc>
          <w:tcPr>
            <w:tcW w:w="0" w:type="auto"/>
            <w:vAlign w:val="center"/>
            <w:hideMark/>
          </w:tcPr>
          <w:p w:rsidR="008E6000" w:rsidRPr="008E6000" w:rsidRDefault="008E6000" w:rsidP="008E6000">
            <w:pPr>
              <w:rPr>
                <w:sz w:val="28"/>
                <w:szCs w:val="28"/>
              </w:rPr>
            </w:pPr>
            <w:r w:rsidRPr="008E6000">
              <w:rPr>
                <w:sz w:val="28"/>
                <w:szCs w:val="28"/>
              </w:rPr>
              <w:t>1% ($100)</w:t>
            </w:r>
          </w:p>
        </w:tc>
        <w:tc>
          <w:tcPr>
            <w:tcW w:w="0" w:type="auto"/>
            <w:vAlign w:val="center"/>
            <w:hideMark/>
          </w:tcPr>
          <w:p w:rsidR="008E6000" w:rsidRPr="008E6000" w:rsidRDefault="008E6000" w:rsidP="008E6000">
            <w:pPr>
              <w:rPr>
                <w:sz w:val="28"/>
                <w:szCs w:val="28"/>
              </w:rPr>
            </w:pPr>
            <w:r w:rsidRPr="008E6000">
              <w:rPr>
                <w:sz w:val="28"/>
                <w:szCs w:val="28"/>
              </w:rPr>
              <w:t>$1/</w:t>
            </w:r>
            <w:proofErr w:type="spellStart"/>
            <w:r w:rsidRPr="008E6000">
              <w:rPr>
                <w:sz w:val="28"/>
                <w:szCs w:val="28"/>
              </w:rPr>
              <w:t>pip</w:t>
            </w:r>
            <w:proofErr w:type="spellEnd"/>
          </w:p>
        </w:tc>
        <w:tc>
          <w:tcPr>
            <w:tcW w:w="0" w:type="auto"/>
            <w:vAlign w:val="center"/>
            <w:hideMark/>
          </w:tcPr>
          <w:p w:rsidR="008E6000" w:rsidRPr="008E6000" w:rsidRDefault="008E6000" w:rsidP="008E6000">
            <w:pPr>
              <w:rPr>
                <w:sz w:val="28"/>
                <w:szCs w:val="28"/>
              </w:rPr>
            </w:pPr>
            <w:r w:rsidRPr="008E6000">
              <w:rPr>
                <w:sz w:val="28"/>
                <w:szCs w:val="28"/>
              </w:rPr>
              <w:t>21.2%</w:t>
            </w:r>
          </w:p>
        </w:tc>
      </w:tr>
      <w:tr w:rsidR="008E6000" w:rsidRPr="008E6000" w:rsidTr="008E6000">
        <w:trPr>
          <w:tblCellSpacing w:w="15" w:type="dxa"/>
        </w:trPr>
        <w:tc>
          <w:tcPr>
            <w:tcW w:w="0" w:type="auto"/>
            <w:vAlign w:val="center"/>
            <w:hideMark/>
          </w:tcPr>
          <w:p w:rsidR="008E6000" w:rsidRPr="008E6000" w:rsidRDefault="008E6000" w:rsidP="008E6000">
            <w:pPr>
              <w:rPr>
                <w:sz w:val="28"/>
                <w:szCs w:val="28"/>
              </w:rPr>
            </w:pPr>
            <w:r w:rsidRPr="008E6000">
              <w:rPr>
                <w:sz w:val="28"/>
                <w:szCs w:val="28"/>
              </w:rPr>
              <w:t>$25,000</w:t>
            </w:r>
          </w:p>
        </w:tc>
        <w:tc>
          <w:tcPr>
            <w:tcW w:w="0" w:type="auto"/>
            <w:vAlign w:val="center"/>
            <w:hideMark/>
          </w:tcPr>
          <w:p w:rsidR="008E6000" w:rsidRPr="008E6000" w:rsidRDefault="008E6000" w:rsidP="008E6000">
            <w:pPr>
              <w:rPr>
                <w:sz w:val="28"/>
                <w:szCs w:val="28"/>
              </w:rPr>
            </w:pPr>
            <w:r w:rsidRPr="008E6000">
              <w:rPr>
                <w:sz w:val="28"/>
                <w:szCs w:val="28"/>
              </w:rPr>
              <w:t>1% ($250)</w:t>
            </w:r>
          </w:p>
        </w:tc>
        <w:tc>
          <w:tcPr>
            <w:tcW w:w="0" w:type="auto"/>
            <w:vAlign w:val="center"/>
            <w:hideMark/>
          </w:tcPr>
          <w:p w:rsidR="008E6000" w:rsidRPr="008E6000" w:rsidRDefault="008E6000" w:rsidP="008E6000">
            <w:pPr>
              <w:rPr>
                <w:sz w:val="28"/>
                <w:szCs w:val="28"/>
              </w:rPr>
            </w:pPr>
            <w:r w:rsidRPr="008E6000">
              <w:rPr>
                <w:sz w:val="28"/>
                <w:szCs w:val="28"/>
              </w:rPr>
              <w:t>$2.5/</w:t>
            </w:r>
            <w:proofErr w:type="spellStart"/>
            <w:r w:rsidRPr="008E6000">
              <w:rPr>
                <w:sz w:val="28"/>
                <w:szCs w:val="28"/>
              </w:rPr>
              <w:t>pip</w:t>
            </w:r>
            <w:proofErr w:type="spellEnd"/>
          </w:p>
        </w:tc>
        <w:tc>
          <w:tcPr>
            <w:tcW w:w="0" w:type="auto"/>
            <w:vAlign w:val="center"/>
            <w:hideMark/>
          </w:tcPr>
          <w:p w:rsidR="008E6000" w:rsidRPr="008E6000" w:rsidRDefault="008E6000" w:rsidP="008E6000">
            <w:pPr>
              <w:rPr>
                <w:sz w:val="28"/>
                <w:szCs w:val="28"/>
              </w:rPr>
            </w:pPr>
            <w:r w:rsidRPr="008E6000">
              <w:rPr>
                <w:sz w:val="28"/>
                <w:szCs w:val="28"/>
              </w:rPr>
              <w:t>21.2%</w:t>
            </w:r>
          </w:p>
        </w:tc>
      </w:tr>
      <w:tr w:rsidR="008E6000" w:rsidRPr="008E6000" w:rsidTr="008E6000">
        <w:trPr>
          <w:tblCellSpacing w:w="15" w:type="dxa"/>
        </w:trPr>
        <w:tc>
          <w:tcPr>
            <w:tcW w:w="0" w:type="auto"/>
            <w:vAlign w:val="center"/>
            <w:hideMark/>
          </w:tcPr>
          <w:p w:rsidR="008E6000" w:rsidRPr="008E6000" w:rsidRDefault="008E6000" w:rsidP="008E6000">
            <w:pPr>
              <w:rPr>
                <w:sz w:val="28"/>
                <w:szCs w:val="28"/>
              </w:rPr>
            </w:pPr>
            <w:r w:rsidRPr="008E6000">
              <w:rPr>
                <w:sz w:val="28"/>
                <w:szCs w:val="28"/>
              </w:rPr>
              <w:t>$50,000</w:t>
            </w:r>
          </w:p>
        </w:tc>
        <w:tc>
          <w:tcPr>
            <w:tcW w:w="0" w:type="auto"/>
            <w:vAlign w:val="center"/>
            <w:hideMark/>
          </w:tcPr>
          <w:p w:rsidR="008E6000" w:rsidRPr="008E6000" w:rsidRDefault="008E6000" w:rsidP="008E6000">
            <w:pPr>
              <w:rPr>
                <w:sz w:val="28"/>
                <w:szCs w:val="28"/>
              </w:rPr>
            </w:pPr>
            <w:r w:rsidRPr="008E6000">
              <w:rPr>
                <w:sz w:val="28"/>
                <w:szCs w:val="28"/>
              </w:rPr>
              <w:t>1% ($500)</w:t>
            </w:r>
          </w:p>
        </w:tc>
        <w:tc>
          <w:tcPr>
            <w:tcW w:w="0" w:type="auto"/>
            <w:vAlign w:val="center"/>
            <w:hideMark/>
          </w:tcPr>
          <w:p w:rsidR="008E6000" w:rsidRPr="008E6000" w:rsidRDefault="008E6000" w:rsidP="008E6000">
            <w:pPr>
              <w:rPr>
                <w:sz w:val="28"/>
                <w:szCs w:val="28"/>
              </w:rPr>
            </w:pPr>
            <w:r w:rsidRPr="008E6000">
              <w:rPr>
                <w:sz w:val="28"/>
                <w:szCs w:val="28"/>
              </w:rPr>
              <w:t>$5/</w:t>
            </w:r>
            <w:proofErr w:type="spellStart"/>
            <w:r w:rsidRPr="008E6000">
              <w:rPr>
                <w:sz w:val="28"/>
                <w:szCs w:val="28"/>
              </w:rPr>
              <w:t>pip</w:t>
            </w:r>
            <w:proofErr w:type="spellEnd"/>
          </w:p>
        </w:tc>
        <w:tc>
          <w:tcPr>
            <w:tcW w:w="0" w:type="auto"/>
            <w:vAlign w:val="center"/>
            <w:hideMark/>
          </w:tcPr>
          <w:p w:rsidR="008E6000" w:rsidRPr="008E6000" w:rsidRDefault="008E6000" w:rsidP="008E6000">
            <w:pPr>
              <w:rPr>
                <w:sz w:val="28"/>
                <w:szCs w:val="28"/>
              </w:rPr>
            </w:pPr>
            <w:r w:rsidRPr="008E6000">
              <w:rPr>
                <w:sz w:val="28"/>
                <w:szCs w:val="28"/>
              </w:rPr>
              <w:t>21.2%</w:t>
            </w:r>
          </w:p>
        </w:tc>
      </w:tr>
      <w:tr w:rsidR="008E6000" w:rsidRPr="008E6000" w:rsidTr="008E6000">
        <w:trPr>
          <w:tblCellSpacing w:w="15" w:type="dxa"/>
        </w:trPr>
        <w:tc>
          <w:tcPr>
            <w:tcW w:w="0" w:type="auto"/>
            <w:vAlign w:val="center"/>
            <w:hideMark/>
          </w:tcPr>
          <w:p w:rsidR="008E6000" w:rsidRPr="008E6000" w:rsidRDefault="008E6000" w:rsidP="008E6000">
            <w:pPr>
              <w:rPr>
                <w:sz w:val="28"/>
                <w:szCs w:val="28"/>
              </w:rPr>
            </w:pPr>
            <w:r w:rsidRPr="008E6000">
              <w:rPr>
                <w:sz w:val="28"/>
                <w:szCs w:val="28"/>
              </w:rPr>
              <w:t>$100,000</w:t>
            </w:r>
          </w:p>
        </w:tc>
        <w:tc>
          <w:tcPr>
            <w:tcW w:w="0" w:type="auto"/>
            <w:vAlign w:val="center"/>
            <w:hideMark/>
          </w:tcPr>
          <w:p w:rsidR="008E6000" w:rsidRPr="008E6000" w:rsidRDefault="008E6000" w:rsidP="008E6000">
            <w:pPr>
              <w:rPr>
                <w:sz w:val="28"/>
                <w:szCs w:val="28"/>
              </w:rPr>
            </w:pPr>
            <w:r w:rsidRPr="008E6000">
              <w:rPr>
                <w:sz w:val="28"/>
                <w:szCs w:val="28"/>
              </w:rPr>
              <w:t>0.5% ($500)</w:t>
            </w:r>
          </w:p>
        </w:tc>
        <w:tc>
          <w:tcPr>
            <w:tcW w:w="0" w:type="auto"/>
            <w:vAlign w:val="center"/>
            <w:hideMark/>
          </w:tcPr>
          <w:p w:rsidR="008E6000" w:rsidRPr="008E6000" w:rsidRDefault="008E6000" w:rsidP="008E6000">
            <w:pPr>
              <w:rPr>
                <w:sz w:val="28"/>
                <w:szCs w:val="28"/>
              </w:rPr>
            </w:pPr>
            <w:r w:rsidRPr="008E6000">
              <w:rPr>
                <w:sz w:val="28"/>
                <w:szCs w:val="28"/>
              </w:rPr>
              <w:t>$5/</w:t>
            </w:r>
            <w:proofErr w:type="spellStart"/>
            <w:r w:rsidRPr="008E6000">
              <w:rPr>
                <w:sz w:val="28"/>
                <w:szCs w:val="28"/>
              </w:rPr>
              <w:t>pip</w:t>
            </w:r>
            <w:proofErr w:type="spellEnd"/>
          </w:p>
        </w:tc>
        <w:tc>
          <w:tcPr>
            <w:tcW w:w="0" w:type="auto"/>
            <w:vAlign w:val="center"/>
            <w:hideMark/>
          </w:tcPr>
          <w:p w:rsidR="008E6000" w:rsidRPr="008E6000" w:rsidRDefault="008E6000" w:rsidP="008E6000">
            <w:pPr>
              <w:rPr>
                <w:sz w:val="28"/>
                <w:szCs w:val="28"/>
              </w:rPr>
            </w:pPr>
            <w:r w:rsidRPr="008E6000">
              <w:rPr>
                <w:sz w:val="28"/>
                <w:szCs w:val="28"/>
              </w:rPr>
              <w:t>10.6%</w:t>
            </w:r>
          </w:p>
        </w:tc>
      </w:tr>
    </w:tbl>
    <w:p w:rsidR="008E6000" w:rsidRPr="008E6000" w:rsidRDefault="008E6000" w:rsidP="008E6000">
      <w:pPr>
        <w:rPr>
          <w:b/>
          <w:bCs/>
          <w:sz w:val="28"/>
          <w:szCs w:val="28"/>
        </w:rPr>
      </w:pPr>
      <w:r w:rsidRPr="008E6000">
        <w:rPr>
          <w:b/>
          <w:bCs/>
          <w:sz w:val="28"/>
          <w:szCs w:val="28"/>
        </w:rPr>
        <w:t>Discusión</w:t>
      </w:r>
    </w:p>
    <w:p w:rsidR="008E6000" w:rsidRPr="008E6000" w:rsidRDefault="008E6000" w:rsidP="008E6000">
      <w:pPr>
        <w:rPr>
          <w:sz w:val="28"/>
          <w:szCs w:val="28"/>
        </w:rPr>
      </w:pPr>
      <w:r w:rsidRPr="008E6000">
        <w:rPr>
          <w:b/>
          <w:bCs/>
          <w:sz w:val="28"/>
          <w:szCs w:val="28"/>
        </w:rPr>
        <w:t>Performance Cross-Market</w:t>
      </w:r>
      <w:r w:rsidRPr="008E6000">
        <w:rPr>
          <w:sz w:val="28"/>
          <w:szCs w:val="28"/>
        </w:rPr>
        <w:t xml:space="preserve"> Las tres configuraciones óptimas (GBPUSD H1, USDJPY H1, EURUSD H1) mostraron performance notable con esperanzas matemáticas entre +5.90 y +7.15 pips por operación. El portfolio combinado proyecta 25-35% ROI anual con gestión de riesgo apropiada.</w:t>
      </w:r>
    </w:p>
    <w:p w:rsidR="008E6000" w:rsidRPr="008E6000" w:rsidRDefault="008E6000" w:rsidP="008E6000">
      <w:pPr>
        <w:rPr>
          <w:sz w:val="28"/>
          <w:szCs w:val="28"/>
        </w:rPr>
      </w:pPr>
      <w:r w:rsidRPr="008E6000">
        <w:rPr>
          <w:b/>
          <w:bCs/>
          <w:sz w:val="28"/>
          <w:szCs w:val="28"/>
        </w:rPr>
        <w:t>Hallazgos Técnicos</w:t>
      </w:r>
      <w:r w:rsidRPr="008E6000">
        <w:rPr>
          <w:sz w:val="28"/>
          <w:szCs w:val="28"/>
        </w:rPr>
        <w:t xml:space="preserve"> La superioridad consistente del </w:t>
      </w:r>
      <w:proofErr w:type="spellStart"/>
      <w:r w:rsidRPr="008E6000">
        <w:rPr>
          <w:sz w:val="28"/>
          <w:szCs w:val="28"/>
        </w:rPr>
        <w:t>timeframe</w:t>
      </w:r>
      <w:proofErr w:type="spellEnd"/>
      <w:r w:rsidRPr="008E6000">
        <w:rPr>
          <w:sz w:val="28"/>
          <w:szCs w:val="28"/>
        </w:rPr>
        <w:t xml:space="preserve"> H1 sugiere que este período captura óptimamente los movimientos de reversión sin exceso de ruido. El filtro DI universal (≤18) demostró efectividad </w:t>
      </w:r>
      <w:proofErr w:type="spellStart"/>
      <w:r w:rsidRPr="008E6000">
        <w:rPr>
          <w:sz w:val="28"/>
          <w:szCs w:val="28"/>
        </w:rPr>
        <w:t>cross</w:t>
      </w:r>
      <w:proofErr w:type="spellEnd"/>
      <w:r w:rsidRPr="008E6000">
        <w:rPr>
          <w:sz w:val="28"/>
          <w:szCs w:val="28"/>
        </w:rPr>
        <w:t>-market, indicando un principio subyacente robusto en la identificación de condiciones favorables para reversión.</w:t>
      </w:r>
    </w:p>
    <w:p w:rsidR="008E6000" w:rsidRPr="008E6000" w:rsidRDefault="008E6000" w:rsidP="008E6000">
      <w:pPr>
        <w:rPr>
          <w:sz w:val="28"/>
          <w:szCs w:val="28"/>
        </w:rPr>
      </w:pPr>
      <w:r w:rsidRPr="008E6000">
        <w:rPr>
          <w:b/>
          <w:bCs/>
          <w:sz w:val="28"/>
          <w:szCs w:val="28"/>
        </w:rPr>
        <w:t>Viabilidad para Trading Algorítmico</w:t>
      </w:r>
      <w:r w:rsidRPr="008E6000">
        <w:rPr>
          <w:sz w:val="28"/>
          <w:szCs w:val="28"/>
        </w:rPr>
        <w:t xml:space="preserve"> La estrategia presenta características ideales para automatización: disciplina de ejecución perfecta, operación 24/5, gestión de riesgo automatizada y escalabilidad a cuentas grandes. El ROI proyectado de 25-35% anual se encuentra en el rango objetivo para calificación en prop firms.</w:t>
      </w:r>
    </w:p>
    <w:p w:rsidR="008E6000" w:rsidRPr="008E6000" w:rsidRDefault="008E6000" w:rsidP="008E6000">
      <w:pPr>
        <w:rPr>
          <w:b/>
          <w:bCs/>
          <w:sz w:val="28"/>
          <w:szCs w:val="28"/>
        </w:rPr>
      </w:pPr>
      <w:r w:rsidRPr="008E6000">
        <w:rPr>
          <w:b/>
          <w:bCs/>
          <w:sz w:val="28"/>
          <w:szCs w:val="28"/>
        </w:rPr>
        <w:t>Conclusiones</w:t>
      </w:r>
    </w:p>
    <w:p w:rsidR="008E6000" w:rsidRPr="008E6000" w:rsidRDefault="008E6000" w:rsidP="008E6000">
      <w:pPr>
        <w:rPr>
          <w:sz w:val="28"/>
          <w:szCs w:val="28"/>
        </w:rPr>
      </w:pPr>
      <w:r w:rsidRPr="008E6000">
        <w:rPr>
          <w:sz w:val="28"/>
          <w:szCs w:val="28"/>
        </w:rPr>
        <w:t xml:space="preserve">El sistema AMRS BETA1 representa una estrategia de trading algorítmica robusta con validación </w:t>
      </w:r>
      <w:proofErr w:type="spellStart"/>
      <w:r w:rsidRPr="008E6000">
        <w:rPr>
          <w:sz w:val="28"/>
          <w:szCs w:val="28"/>
        </w:rPr>
        <w:t>cross</w:t>
      </w:r>
      <w:proofErr w:type="spellEnd"/>
      <w:r w:rsidRPr="008E6000">
        <w:rPr>
          <w:sz w:val="28"/>
          <w:szCs w:val="28"/>
        </w:rPr>
        <w:t>-market exitosa. La metodología científica aplicada, incluyendo análisis EDA y optimización sistemática, resultó en un sistema escalable con esperanza matemática positiva consistente. Los resultados sugieren viabilidad para implementación en prop firms y trading automatizado de alto volumen.</w:t>
      </w:r>
    </w:p>
    <w:p w:rsidR="008E6000" w:rsidRPr="008E6000" w:rsidRDefault="008E6000" w:rsidP="008E6000">
      <w:pPr>
        <w:rPr>
          <w:sz w:val="28"/>
          <w:szCs w:val="28"/>
        </w:rPr>
      </w:pPr>
      <w:r w:rsidRPr="008E6000">
        <w:rPr>
          <w:sz w:val="28"/>
          <w:szCs w:val="28"/>
        </w:rPr>
        <w:t>La estrategia está técnicamente lista para fase de implementación en tiempo real, con arquitectura modular que permite expansión a instrumentos adicionales manteniendo los principios validados. El análisis ROI confirma la viabilidad comercial del sistema para gestión de capital profesional.</w:t>
      </w:r>
    </w:p>
    <w:p w:rsidR="008E6000" w:rsidRPr="008E6000" w:rsidRDefault="008E6000">
      <w:pPr>
        <w:rPr>
          <w:sz w:val="28"/>
          <w:szCs w:val="28"/>
        </w:rPr>
      </w:pPr>
      <w:bookmarkStart w:id="0" w:name="_GoBack"/>
      <w:bookmarkEnd w:id="0"/>
    </w:p>
    <w:sectPr w:rsidR="008E6000" w:rsidRPr="008E6000" w:rsidSect="008E600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41F70"/>
    <w:multiLevelType w:val="multilevel"/>
    <w:tmpl w:val="8B1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E25EB"/>
    <w:multiLevelType w:val="multilevel"/>
    <w:tmpl w:val="E29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00"/>
    <w:rsid w:val="006F40A5"/>
    <w:rsid w:val="008E6000"/>
    <w:rsid w:val="00C921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5032"/>
  <w15:chartTrackingRefBased/>
  <w15:docId w15:val="{FC2B81C6-E853-45F7-9C6A-6F39C26F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1EE"/>
  </w:style>
  <w:style w:type="paragraph" w:styleId="Ttulo2">
    <w:name w:val="heading 2"/>
    <w:basedOn w:val="Normal"/>
    <w:next w:val="Normal"/>
    <w:link w:val="Ttulo2Car"/>
    <w:uiPriority w:val="9"/>
    <w:semiHidden/>
    <w:unhideWhenUsed/>
    <w:qFormat/>
    <w:rsid w:val="00C921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C921EE"/>
    <w:pPr>
      <w:spacing w:before="100" w:beforeAutospacing="1" w:after="100" w:afterAutospacing="1"/>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C921E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ord">
    <w:name w:val="mord"/>
    <w:basedOn w:val="Fuentedeprrafopredeter"/>
    <w:rsid w:val="00C921EE"/>
  </w:style>
  <w:style w:type="character" w:customStyle="1" w:styleId="mrel">
    <w:name w:val="mrel"/>
    <w:basedOn w:val="Fuentedeprrafopredeter"/>
    <w:rsid w:val="00C921EE"/>
  </w:style>
  <w:style w:type="character" w:customStyle="1" w:styleId="mop">
    <w:name w:val="mop"/>
    <w:basedOn w:val="Fuentedeprrafopredeter"/>
    <w:rsid w:val="00C921EE"/>
  </w:style>
  <w:style w:type="character" w:customStyle="1" w:styleId="delimsizing">
    <w:name w:val="delimsizing"/>
    <w:basedOn w:val="Fuentedeprrafopredeter"/>
    <w:rsid w:val="00C921EE"/>
  </w:style>
  <w:style w:type="character" w:customStyle="1" w:styleId="mopen">
    <w:name w:val="mopen"/>
    <w:basedOn w:val="Fuentedeprrafopredeter"/>
    <w:rsid w:val="00C921EE"/>
  </w:style>
  <w:style w:type="character" w:customStyle="1" w:styleId="vlist-s">
    <w:name w:val="vlist-s"/>
    <w:basedOn w:val="Fuentedeprrafopredeter"/>
    <w:rsid w:val="00C921EE"/>
  </w:style>
  <w:style w:type="character" w:customStyle="1" w:styleId="mbin">
    <w:name w:val="mbin"/>
    <w:basedOn w:val="Fuentedeprrafopredeter"/>
    <w:rsid w:val="00C921EE"/>
  </w:style>
  <w:style w:type="character" w:customStyle="1" w:styleId="mclose">
    <w:name w:val="mclose"/>
    <w:basedOn w:val="Fuentedeprrafopredeter"/>
    <w:rsid w:val="00C921EE"/>
  </w:style>
  <w:style w:type="character" w:customStyle="1" w:styleId="mpunct">
    <w:name w:val="mpunct"/>
    <w:basedOn w:val="Fuentedeprrafopredeter"/>
    <w:rsid w:val="00C921EE"/>
  </w:style>
  <w:style w:type="character" w:customStyle="1" w:styleId="katex-mathml">
    <w:name w:val="katex-mathml"/>
    <w:basedOn w:val="Fuentedeprrafopredeter"/>
    <w:rsid w:val="00C921EE"/>
  </w:style>
  <w:style w:type="character" w:customStyle="1" w:styleId="Ttulo2Car">
    <w:name w:val="Título 2 Car"/>
    <w:basedOn w:val="Fuentedeprrafopredeter"/>
    <w:link w:val="Ttulo2"/>
    <w:uiPriority w:val="9"/>
    <w:semiHidden/>
    <w:rsid w:val="00C921E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921EE"/>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semiHidden/>
    <w:rsid w:val="00C921EE"/>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C921EE"/>
    <w:rPr>
      <w:b/>
      <w:bCs/>
    </w:rPr>
  </w:style>
  <w:style w:type="character" w:styleId="nfasis">
    <w:name w:val="Emphasis"/>
    <w:basedOn w:val="Fuentedeprrafopredeter"/>
    <w:uiPriority w:val="20"/>
    <w:qFormat/>
    <w:rsid w:val="00C921EE"/>
    <w:rPr>
      <w:i/>
      <w:iCs/>
    </w:rPr>
  </w:style>
  <w:style w:type="paragraph" w:styleId="NormalWeb">
    <w:name w:val="Normal (Web)"/>
    <w:basedOn w:val="Normal"/>
    <w:uiPriority w:val="99"/>
    <w:unhideWhenUsed/>
    <w:rsid w:val="00C921EE"/>
    <w:pPr>
      <w:spacing w:before="100" w:beforeAutospacing="1" w:after="100" w:afterAutospacing="1"/>
    </w:pPr>
    <w:rPr>
      <w:rFonts w:ascii="Times New Roman" w:eastAsia="Times New Roman" w:hAnsi="Times New Roman" w:cs="Times New Roman"/>
      <w:sz w:val="24"/>
      <w:szCs w:val="24"/>
      <w:lang w:eastAsia="es-CO"/>
    </w:rPr>
  </w:style>
  <w:style w:type="paragraph" w:styleId="Textodeglobo">
    <w:name w:val="Balloon Text"/>
    <w:basedOn w:val="Normal"/>
    <w:link w:val="TextodegloboCar"/>
    <w:uiPriority w:val="99"/>
    <w:semiHidden/>
    <w:unhideWhenUsed/>
    <w:rsid w:val="00C921EE"/>
    <w:rPr>
      <w:rFonts w:ascii="Tahoma" w:hAnsi="Tahoma" w:cs="Tahoma"/>
      <w:sz w:val="16"/>
      <w:szCs w:val="16"/>
    </w:rPr>
  </w:style>
  <w:style w:type="character" w:customStyle="1" w:styleId="TextodegloboCar">
    <w:name w:val="Texto de globo Car"/>
    <w:basedOn w:val="Fuentedeprrafopredeter"/>
    <w:link w:val="Textodeglobo"/>
    <w:uiPriority w:val="99"/>
    <w:semiHidden/>
    <w:rsid w:val="00C921EE"/>
    <w:rPr>
      <w:rFonts w:ascii="Tahoma" w:hAnsi="Tahoma" w:cs="Tahoma"/>
      <w:sz w:val="16"/>
      <w:szCs w:val="16"/>
    </w:rPr>
  </w:style>
  <w:style w:type="paragraph" w:styleId="Prrafodelista">
    <w:name w:val="List Paragraph"/>
    <w:basedOn w:val="Normal"/>
    <w:uiPriority w:val="34"/>
    <w:qFormat/>
    <w:rsid w:val="00C921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90273">
      <w:bodyDiv w:val="1"/>
      <w:marLeft w:val="0"/>
      <w:marRight w:val="0"/>
      <w:marTop w:val="0"/>
      <w:marBottom w:val="0"/>
      <w:divBdr>
        <w:top w:val="none" w:sz="0" w:space="0" w:color="auto"/>
        <w:left w:val="none" w:sz="0" w:space="0" w:color="auto"/>
        <w:bottom w:val="none" w:sz="0" w:space="0" w:color="auto"/>
        <w:right w:val="none" w:sz="0" w:space="0" w:color="auto"/>
      </w:divBdr>
    </w:div>
    <w:div w:id="1277519487">
      <w:bodyDiv w:val="1"/>
      <w:marLeft w:val="0"/>
      <w:marRight w:val="0"/>
      <w:marTop w:val="0"/>
      <w:marBottom w:val="0"/>
      <w:divBdr>
        <w:top w:val="none" w:sz="0" w:space="0" w:color="auto"/>
        <w:left w:val="none" w:sz="0" w:space="0" w:color="auto"/>
        <w:bottom w:val="none" w:sz="0" w:space="0" w:color="auto"/>
        <w:right w:val="none" w:sz="0" w:space="0" w:color="auto"/>
      </w:divBdr>
    </w:div>
    <w:div w:id="1858958742">
      <w:bodyDiv w:val="1"/>
      <w:marLeft w:val="0"/>
      <w:marRight w:val="0"/>
      <w:marTop w:val="0"/>
      <w:marBottom w:val="0"/>
      <w:divBdr>
        <w:top w:val="none" w:sz="0" w:space="0" w:color="auto"/>
        <w:left w:val="none" w:sz="0" w:space="0" w:color="auto"/>
        <w:bottom w:val="none" w:sz="0" w:space="0" w:color="auto"/>
        <w:right w:val="none" w:sz="0" w:space="0" w:color="auto"/>
      </w:divBdr>
      <w:divsChild>
        <w:div w:id="2145342420">
          <w:marLeft w:val="0"/>
          <w:marRight w:val="0"/>
          <w:marTop w:val="0"/>
          <w:marBottom w:val="0"/>
          <w:divBdr>
            <w:top w:val="none" w:sz="0" w:space="0" w:color="auto"/>
            <w:left w:val="none" w:sz="0" w:space="0" w:color="auto"/>
            <w:bottom w:val="none" w:sz="0" w:space="0" w:color="auto"/>
            <w:right w:val="none" w:sz="0" w:space="0" w:color="auto"/>
          </w:divBdr>
          <w:divsChild>
            <w:div w:id="1243295424">
              <w:marLeft w:val="0"/>
              <w:marRight w:val="0"/>
              <w:marTop w:val="0"/>
              <w:marBottom w:val="0"/>
              <w:divBdr>
                <w:top w:val="none" w:sz="0" w:space="0" w:color="auto"/>
                <w:left w:val="none" w:sz="0" w:space="0" w:color="auto"/>
                <w:bottom w:val="none" w:sz="0" w:space="0" w:color="auto"/>
                <w:right w:val="none" w:sz="0" w:space="0" w:color="auto"/>
              </w:divBdr>
            </w:div>
          </w:divsChild>
        </w:div>
        <w:div w:id="1550608686">
          <w:marLeft w:val="0"/>
          <w:marRight w:val="0"/>
          <w:marTop w:val="0"/>
          <w:marBottom w:val="0"/>
          <w:divBdr>
            <w:top w:val="none" w:sz="0" w:space="0" w:color="auto"/>
            <w:left w:val="none" w:sz="0" w:space="0" w:color="auto"/>
            <w:bottom w:val="none" w:sz="0" w:space="0" w:color="auto"/>
            <w:right w:val="none" w:sz="0" w:space="0" w:color="auto"/>
          </w:divBdr>
          <w:divsChild>
            <w:div w:id="138694664">
              <w:marLeft w:val="0"/>
              <w:marRight w:val="0"/>
              <w:marTop w:val="0"/>
              <w:marBottom w:val="0"/>
              <w:divBdr>
                <w:top w:val="none" w:sz="0" w:space="0" w:color="auto"/>
                <w:left w:val="none" w:sz="0" w:space="0" w:color="auto"/>
                <w:bottom w:val="none" w:sz="0" w:space="0" w:color="auto"/>
                <w:right w:val="none" w:sz="0" w:space="0" w:color="auto"/>
              </w:divBdr>
            </w:div>
          </w:divsChild>
        </w:div>
        <w:div w:id="1006859218">
          <w:marLeft w:val="0"/>
          <w:marRight w:val="0"/>
          <w:marTop w:val="0"/>
          <w:marBottom w:val="0"/>
          <w:divBdr>
            <w:top w:val="none" w:sz="0" w:space="0" w:color="auto"/>
            <w:left w:val="none" w:sz="0" w:space="0" w:color="auto"/>
            <w:bottom w:val="none" w:sz="0" w:space="0" w:color="auto"/>
            <w:right w:val="none" w:sz="0" w:space="0" w:color="auto"/>
          </w:divBdr>
          <w:divsChild>
            <w:div w:id="545486581">
              <w:marLeft w:val="0"/>
              <w:marRight w:val="0"/>
              <w:marTop w:val="0"/>
              <w:marBottom w:val="0"/>
              <w:divBdr>
                <w:top w:val="none" w:sz="0" w:space="0" w:color="auto"/>
                <w:left w:val="none" w:sz="0" w:space="0" w:color="auto"/>
                <w:bottom w:val="none" w:sz="0" w:space="0" w:color="auto"/>
                <w:right w:val="none" w:sz="0" w:space="0" w:color="auto"/>
              </w:divBdr>
            </w:div>
          </w:divsChild>
        </w:div>
        <w:div w:id="149517914">
          <w:marLeft w:val="0"/>
          <w:marRight w:val="0"/>
          <w:marTop w:val="0"/>
          <w:marBottom w:val="0"/>
          <w:divBdr>
            <w:top w:val="none" w:sz="0" w:space="0" w:color="auto"/>
            <w:left w:val="none" w:sz="0" w:space="0" w:color="auto"/>
            <w:bottom w:val="none" w:sz="0" w:space="0" w:color="auto"/>
            <w:right w:val="none" w:sz="0" w:space="0" w:color="auto"/>
          </w:divBdr>
          <w:divsChild>
            <w:div w:id="1474522013">
              <w:marLeft w:val="0"/>
              <w:marRight w:val="0"/>
              <w:marTop w:val="0"/>
              <w:marBottom w:val="0"/>
              <w:divBdr>
                <w:top w:val="none" w:sz="0" w:space="0" w:color="auto"/>
                <w:left w:val="none" w:sz="0" w:space="0" w:color="auto"/>
                <w:bottom w:val="none" w:sz="0" w:space="0" w:color="auto"/>
                <w:right w:val="none" w:sz="0" w:space="0" w:color="auto"/>
              </w:divBdr>
            </w:div>
          </w:divsChild>
        </w:div>
        <w:div w:id="659651807">
          <w:marLeft w:val="0"/>
          <w:marRight w:val="0"/>
          <w:marTop w:val="0"/>
          <w:marBottom w:val="0"/>
          <w:divBdr>
            <w:top w:val="none" w:sz="0" w:space="0" w:color="auto"/>
            <w:left w:val="none" w:sz="0" w:space="0" w:color="auto"/>
            <w:bottom w:val="none" w:sz="0" w:space="0" w:color="auto"/>
            <w:right w:val="none" w:sz="0" w:space="0" w:color="auto"/>
          </w:divBdr>
          <w:divsChild>
            <w:div w:id="265843104">
              <w:marLeft w:val="0"/>
              <w:marRight w:val="0"/>
              <w:marTop w:val="0"/>
              <w:marBottom w:val="0"/>
              <w:divBdr>
                <w:top w:val="none" w:sz="0" w:space="0" w:color="auto"/>
                <w:left w:val="none" w:sz="0" w:space="0" w:color="auto"/>
                <w:bottom w:val="none" w:sz="0" w:space="0" w:color="auto"/>
                <w:right w:val="none" w:sz="0" w:space="0" w:color="auto"/>
              </w:divBdr>
            </w:div>
          </w:divsChild>
        </w:div>
        <w:div w:id="2024748715">
          <w:marLeft w:val="0"/>
          <w:marRight w:val="0"/>
          <w:marTop w:val="0"/>
          <w:marBottom w:val="0"/>
          <w:divBdr>
            <w:top w:val="none" w:sz="0" w:space="0" w:color="auto"/>
            <w:left w:val="none" w:sz="0" w:space="0" w:color="auto"/>
            <w:bottom w:val="none" w:sz="0" w:space="0" w:color="auto"/>
            <w:right w:val="none" w:sz="0" w:space="0" w:color="auto"/>
          </w:divBdr>
          <w:divsChild>
            <w:div w:id="918249822">
              <w:marLeft w:val="0"/>
              <w:marRight w:val="0"/>
              <w:marTop w:val="0"/>
              <w:marBottom w:val="0"/>
              <w:divBdr>
                <w:top w:val="none" w:sz="0" w:space="0" w:color="auto"/>
                <w:left w:val="none" w:sz="0" w:space="0" w:color="auto"/>
                <w:bottom w:val="none" w:sz="0" w:space="0" w:color="auto"/>
                <w:right w:val="none" w:sz="0" w:space="0" w:color="auto"/>
              </w:divBdr>
            </w:div>
          </w:divsChild>
        </w:div>
        <w:div w:id="100076069">
          <w:marLeft w:val="0"/>
          <w:marRight w:val="0"/>
          <w:marTop w:val="0"/>
          <w:marBottom w:val="0"/>
          <w:divBdr>
            <w:top w:val="none" w:sz="0" w:space="0" w:color="auto"/>
            <w:left w:val="none" w:sz="0" w:space="0" w:color="auto"/>
            <w:bottom w:val="none" w:sz="0" w:space="0" w:color="auto"/>
            <w:right w:val="none" w:sz="0" w:space="0" w:color="auto"/>
          </w:divBdr>
          <w:divsChild>
            <w:div w:id="1711688306">
              <w:marLeft w:val="0"/>
              <w:marRight w:val="0"/>
              <w:marTop w:val="0"/>
              <w:marBottom w:val="0"/>
              <w:divBdr>
                <w:top w:val="none" w:sz="0" w:space="0" w:color="auto"/>
                <w:left w:val="none" w:sz="0" w:space="0" w:color="auto"/>
                <w:bottom w:val="none" w:sz="0" w:space="0" w:color="auto"/>
                <w:right w:val="none" w:sz="0" w:space="0" w:color="auto"/>
              </w:divBdr>
            </w:div>
          </w:divsChild>
        </w:div>
        <w:div w:id="1016347291">
          <w:marLeft w:val="0"/>
          <w:marRight w:val="0"/>
          <w:marTop w:val="0"/>
          <w:marBottom w:val="0"/>
          <w:divBdr>
            <w:top w:val="none" w:sz="0" w:space="0" w:color="auto"/>
            <w:left w:val="none" w:sz="0" w:space="0" w:color="auto"/>
            <w:bottom w:val="none" w:sz="0" w:space="0" w:color="auto"/>
            <w:right w:val="none" w:sz="0" w:space="0" w:color="auto"/>
          </w:divBdr>
          <w:divsChild>
            <w:div w:id="966355543">
              <w:marLeft w:val="0"/>
              <w:marRight w:val="0"/>
              <w:marTop w:val="0"/>
              <w:marBottom w:val="0"/>
              <w:divBdr>
                <w:top w:val="none" w:sz="0" w:space="0" w:color="auto"/>
                <w:left w:val="none" w:sz="0" w:space="0" w:color="auto"/>
                <w:bottom w:val="none" w:sz="0" w:space="0" w:color="auto"/>
                <w:right w:val="none" w:sz="0" w:space="0" w:color="auto"/>
              </w:divBdr>
            </w:div>
          </w:divsChild>
        </w:div>
        <w:div w:id="560872899">
          <w:marLeft w:val="0"/>
          <w:marRight w:val="0"/>
          <w:marTop w:val="0"/>
          <w:marBottom w:val="0"/>
          <w:divBdr>
            <w:top w:val="none" w:sz="0" w:space="0" w:color="auto"/>
            <w:left w:val="none" w:sz="0" w:space="0" w:color="auto"/>
            <w:bottom w:val="none" w:sz="0" w:space="0" w:color="auto"/>
            <w:right w:val="none" w:sz="0" w:space="0" w:color="auto"/>
          </w:divBdr>
          <w:divsChild>
            <w:div w:id="1815754673">
              <w:marLeft w:val="0"/>
              <w:marRight w:val="0"/>
              <w:marTop w:val="0"/>
              <w:marBottom w:val="0"/>
              <w:divBdr>
                <w:top w:val="none" w:sz="0" w:space="0" w:color="auto"/>
                <w:left w:val="none" w:sz="0" w:space="0" w:color="auto"/>
                <w:bottom w:val="none" w:sz="0" w:space="0" w:color="auto"/>
                <w:right w:val="none" w:sz="0" w:space="0" w:color="auto"/>
              </w:divBdr>
            </w:div>
          </w:divsChild>
        </w:div>
        <w:div w:id="1926458125">
          <w:marLeft w:val="0"/>
          <w:marRight w:val="0"/>
          <w:marTop w:val="0"/>
          <w:marBottom w:val="0"/>
          <w:divBdr>
            <w:top w:val="none" w:sz="0" w:space="0" w:color="auto"/>
            <w:left w:val="none" w:sz="0" w:space="0" w:color="auto"/>
            <w:bottom w:val="none" w:sz="0" w:space="0" w:color="auto"/>
            <w:right w:val="none" w:sz="0" w:space="0" w:color="auto"/>
          </w:divBdr>
          <w:divsChild>
            <w:div w:id="2057007191">
              <w:marLeft w:val="0"/>
              <w:marRight w:val="0"/>
              <w:marTop w:val="0"/>
              <w:marBottom w:val="0"/>
              <w:divBdr>
                <w:top w:val="none" w:sz="0" w:space="0" w:color="auto"/>
                <w:left w:val="none" w:sz="0" w:space="0" w:color="auto"/>
                <w:bottom w:val="none" w:sz="0" w:space="0" w:color="auto"/>
                <w:right w:val="none" w:sz="0" w:space="0" w:color="auto"/>
              </w:divBdr>
            </w:div>
          </w:divsChild>
        </w:div>
        <w:div w:id="1038050554">
          <w:marLeft w:val="0"/>
          <w:marRight w:val="0"/>
          <w:marTop w:val="0"/>
          <w:marBottom w:val="0"/>
          <w:divBdr>
            <w:top w:val="none" w:sz="0" w:space="0" w:color="auto"/>
            <w:left w:val="none" w:sz="0" w:space="0" w:color="auto"/>
            <w:bottom w:val="none" w:sz="0" w:space="0" w:color="auto"/>
            <w:right w:val="none" w:sz="0" w:space="0" w:color="auto"/>
          </w:divBdr>
          <w:divsChild>
            <w:div w:id="18514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1398">
      <w:bodyDiv w:val="1"/>
      <w:marLeft w:val="0"/>
      <w:marRight w:val="0"/>
      <w:marTop w:val="0"/>
      <w:marBottom w:val="0"/>
      <w:divBdr>
        <w:top w:val="none" w:sz="0" w:space="0" w:color="auto"/>
        <w:left w:val="none" w:sz="0" w:space="0" w:color="auto"/>
        <w:bottom w:val="none" w:sz="0" w:space="0" w:color="auto"/>
        <w:right w:val="none" w:sz="0" w:space="0" w:color="auto"/>
      </w:divBdr>
      <w:divsChild>
        <w:div w:id="1535655246">
          <w:marLeft w:val="0"/>
          <w:marRight w:val="0"/>
          <w:marTop w:val="0"/>
          <w:marBottom w:val="0"/>
          <w:divBdr>
            <w:top w:val="none" w:sz="0" w:space="0" w:color="auto"/>
            <w:left w:val="none" w:sz="0" w:space="0" w:color="auto"/>
            <w:bottom w:val="none" w:sz="0" w:space="0" w:color="auto"/>
            <w:right w:val="none" w:sz="0" w:space="0" w:color="auto"/>
          </w:divBdr>
          <w:divsChild>
            <w:div w:id="397362019">
              <w:marLeft w:val="0"/>
              <w:marRight w:val="0"/>
              <w:marTop w:val="0"/>
              <w:marBottom w:val="0"/>
              <w:divBdr>
                <w:top w:val="none" w:sz="0" w:space="0" w:color="auto"/>
                <w:left w:val="none" w:sz="0" w:space="0" w:color="auto"/>
                <w:bottom w:val="none" w:sz="0" w:space="0" w:color="auto"/>
                <w:right w:val="none" w:sz="0" w:space="0" w:color="auto"/>
              </w:divBdr>
            </w:div>
          </w:divsChild>
        </w:div>
        <w:div w:id="1085494885">
          <w:marLeft w:val="0"/>
          <w:marRight w:val="0"/>
          <w:marTop w:val="0"/>
          <w:marBottom w:val="0"/>
          <w:divBdr>
            <w:top w:val="none" w:sz="0" w:space="0" w:color="auto"/>
            <w:left w:val="none" w:sz="0" w:space="0" w:color="auto"/>
            <w:bottom w:val="none" w:sz="0" w:space="0" w:color="auto"/>
            <w:right w:val="none" w:sz="0" w:space="0" w:color="auto"/>
          </w:divBdr>
          <w:divsChild>
            <w:div w:id="1822311467">
              <w:marLeft w:val="0"/>
              <w:marRight w:val="0"/>
              <w:marTop w:val="0"/>
              <w:marBottom w:val="0"/>
              <w:divBdr>
                <w:top w:val="none" w:sz="0" w:space="0" w:color="auto"/>
                <w:left w:val="none" w:sz="0" w:space="0" w:color="auto"/>
                <w:bottom w:val="none" w:sz="0" w:space="0" w:color="auto"/>
                <w:right w:val="none" w:sz="0" w:space="0" w:color="auto"/>
              </w:divBdr>
            </w:div>
          </w:divsChild>
        </w:div>
        <w:div w:id="1102532298">
          <w:marLeft w:val="0"/>
          <w:marRight w:val="0"/>
          <w:marTop w:val="0"/>
          <w:marBottom w:val="0"/>
          <w:divBdr>
            <w:top w:val="none" w:sz="0" w:space="0" w:color="auto"/>
            <w:left w:val="none" w:sz="0" w:space="0" w:color="auto"/>
            <w:bottom w:val="none" w:sz="0" w:space="0" w:color="auto"/>
            <w:right w:val="none" w:sz="0" w:space="0" w:color="auto"/>
          </w:divBdr>
          <w:divsChild>
            <w:div w:id="1893886838">
              <w:marLeft w:val="0"/>
              <w:marRight w:val="0"/>
              <w:marTop w:val="0"/>
              <w:marBottom w:val="0"/>
              <w:divBdr>
                <w:top w:val="none" w:sz="0" w:space="0" w:color="auto"/>
                <w:left w:val="none" w:sz="0" w:space="0" w:color="auto"/>
                <w:bottom w:val="none" w:sz="0" w:space="0" w:color="auto"/>
                <w:right w:val="none" w:sz="0" w:space="0" w:color="auto"/>
              </w:divBdr>
            </w:div>
          </w:divsChild>
        </w:div>
        <w:div w:id="410203319">
          <w:marLeft w:val="0"/>
          <w:marRight w:val="0"/>
          <w:marTop w:val="0"/>
          <w:marBottom w:val="0"/>
          <w:divBdr>
            <w:top w:val="none" w:sz="0" w:space="0" w:color="auto"/>
            <w:left w:val="none" w:sz="0" w:space="0" w:color="auto"/>
            <w:bottom w:val="none" w:sz="0" w:space="0" w:color="auto"/>
            <w:right w:val="none" w:sz="0" w:space="0" w:color="auto"/>
          </w:divBdr>
          <w:divsChild>
            <w:div w:id="1295285381">
              <w:marLeft w:val="0"/>
              <w:marRight w:val="0"/>
              <w:marTop w:val="0"/>
              <w:marBottom w:val="0"/>
              <w:divBdr>
                <w:top w:val="none" w:sz="0" w:space="0" w:color="auto"/>
                <w:left w:val="none" w:sz="0" w:space="0" w:color="auto"/>
                <w:bottom w:val="none" w:sz="0" w:space="0" w:color="auto"/>
                <w:right w:val="none" w:sz="0" w:space="0" w:color="auto"/>
              </w:divBdr>
            </w:div>
          </w:divsChild>
        </w:div>
        <w:div w:id="2124759729">
          <w:marLeft w:val="0"/>
          <w:marRight w:val="0"/>
          <w:marTop w:val="0"/>
          <w:marBottom w:val="0"/>
          <w:divBdr>
            <w:top w:val="none" w:sz="0" w:space="0" w:color="auto"/>
            <w:left w:val="none" w:sz="0" w:space="0" w:color="auto"/>
            <w:bottom w:val="none" w:sz="0" w:space="0" w:color="auto"/>
            <w:right w:val="none" w:sz="0" w:space="0" w:color="auto"/>
          </w:divBdr>
          <w:divsChild>
            <w:div w:id="1464889408">
              <w:marLeft w:val="0"/>
              <w:marRight w:val="0"/>
              <w:marTop w:val="0"/>
              <w:marBottom w:val="0"/>
              <w:divBdr>
                <w:top w:val="none" w:sz="0" w:space="0" w:color="auto"/>
                <w:left w:val="none" w:sz="0" w:space="0" w:color="auto"/>
                <w:bottom w:val="none" w:sz="0" w:space="0" w:color="auto"/>
                <w:right w:val="none" w:sz="0" w:space="0" w:color="auto"/>
              </w:divBdr>
            </w:div>
          </w:divsChild>
        </w:div>
        <w:div w:id="616059667">
          <w:marLeft w:val="0"/>
          <w:marRight w:val="0"/>
          <w:marTop w:val="0"/>
          <w:marBottom w:val="0"/>
          <w:divBdr>
            <w:top w:val="none" w:sz="0" w:space="0" w:color="auto"/>
            <w:left w:val="none" w:sz="0" w:space="0" w:color="auto"/>
            <w:bottom w:val="none" w:sz="0" w:space="0" w:color="auto"/>
            <w:right w:val="none" w:sz="0" w:space="0" w:color="auto"/>
          </w:divBdr>
          <w:divsChild>
            <w:div w:id="381485070">
              <w:marLeft w:val="0"/>
              <w:marRight w:val="0"/>
              <w:marTop w:val="0"/>
              <w:marBottom w:val="0"/>
              <w:divBdr>
                <w:top w:val="none" w:sz="0" w:space="0" w:color="auto"/>
                <w:left w:val="none" w:sz="0" w:space="0" w:color="auto"/>
                <w:bottom w:val="none" w:sz="0" w:space="0" w:color="auto"/>
                <w:right w:val="none" w:sz="0" w:space="0" w:color="auto"/>
              </w:divBdr>
            </w:div>
          </w:divsChild>
        </w:div>
        <w:div w:id="1038552725">
          <w:marLeft w:val="0"/>
          <w:marRight w:val="0"/>
          <w:marTop w:val="0"/>
          <w:marBottom w:val="0"/>
          <w:divBdr>
            <w:top w:val="none" w:sz="0" w:space="0" w:color="auto"/>
            <w:left w:val="none" w:sz="0" w:space="0" w:color="auto"/>
            <w:bottom w:val="none" w:sz="0" w:space="0" w:color="auto"/>
            <w:right w:val="none" w:sz="0" w:space="0" w:color="auto"/>
          </w:divBdr>
          <w:divsChild>
            <w:div w:id="834104102">
              <w:marLeft w:val="0"/>
              <w:marRight w:val="0"/>
              <w:marTop w:val="0"/>
              <w:marBottom w:val="0"/>
              <w:divBdr>
                <w:top w:val="none" w:sz="0" w:space="0" w:color="auto"/>
                <w:left w:val="none" w:sz="0" w:space="0" w:color="auto"/>
                <w:bottom w:val="none" w:sz="0" w:space="0" w:color="auto"/>
                <w:right w:val="none" w:sz="0" w:space="0" w:color="auto"/>
              </w:divBdr>
            </w:div>
          </w:divsChild>
        </w:div>
        <w:div w:id="399526880">
          <w:marLeft w:val="0"/>
          <w:marRight w:val="0"/>
          <w:marTop w:val="0"/>
          <w:marBottom w:val="0"/>
          <w:divBdr>
            <w:top w:val="none" w:sz="0" w:space="0" w:color="auto"/>
            <w:left w:val="none" w:sz="0" w:space="0" w:color="auto"/>
            <w:bottom w:val="none" w:sz="0" w:space="0" w:color="auto"/>
            <w:right w:val="none" w:sz="0" w:space="0" w:color="auto"/>
          </w:divBdr>
          <w:divsChild>
            <w:div w:id="1917472894">
              <w:marLeft w:val="0"/>
              <w:marRight w:val="0"/>
              <w:marTop w:val="0"/>
              <w:marBottom w:val="0"/>
              <w:divBdr>
                <w:top w:val="none" w:sz="0" w:space="0" w:color="auto"/>
                <w:left w:val="none" w:sz="0" w:space="0" w:color="auto"/>
                <w:bottom w:val="none" w:sz="0" w:space="0" w:color="auto"/>
                <w:right w:val="none" w:sz="0" w:space="0" w:color="auto"/>
              </w:divBdr>
            </w:div>
          </w:divsChild>
        </w:div>
        <w:div w:id="1070082106">
          <w:marLeft w:val="0"/>
          <w:marRight w:val="0"/>
          <w:marTop w:val="0"/>
          <w:marBottom w:val="0"/>
          <w:divBdr>
            <w:top w:val="none" w:sz="0" w:space="0" w:color="auto"/>
            <w:left w:val="none" w:sz="0" w:space="0" w:color="auto"/>
            <w:bottom w:val="none" w:sz="0" w:space="0" w:color="auto"/>
            <w:right w:val="none" w:sz="0" w:space="0" w:color="auto"/>
          </w:divBdr>
          <w:divsChild>
            <w:div w:id="1954551117">
              <w:marLeft w:val="0"/>
              <w:marRight w:val="0"/>
              <w:marTop w:val="0"/>
              <w:marBottom w:val="0"/>
              <w:divBdr>
                <w:top w:val="none" w:sz="0" w:space="0" w:color="auto"/>
                <w:left w:val="none" w:sz="0" w:space="0" w:color="auto"/>
                <w:bottom w:val="none" w:sz="0" w:space="0" w:color="auto"/>
                <w:right w:val="none" w:sz="0" w:space="0" w:color="auto"/>
              </w:divBdr>
            </w:div>
          </w:divsChild>
        </w:div>
        <w:div w:id="1998998258">
          <w:marLeft w:val="0"/>
          <w:marRight w:val="0"/>
          <w:marTop w:val="0"/>
          <w:marBottom w:val="0"/>
          <w:divBdr>
            <w:top w:val="none" w:sz="0" w:space="0" w:color="auto"/>
            <w:left w:val="none" w:sz="0" w:space="0" w:color="auto"/>
            <w:bottom w:val="none" w:sz="0" w:space="0" w:color="auto"/>
            <w:right w:val="none" w:sz="0" w:space="0" w:color="auto"/>
          </w:divBdr>
          <w:divsChild>
            <w:div w:id="1105921788">
              <w:marLeft w:val="0"/>
              <w:marRight w:val="0"/>
              <w:marTop w:val="0"/>
              <w:marBottom w:val="0"/>
              <w:divBdr>
                <w:top w:val="none" w:sz="0" w:space="0" w:color="auto"/>
                <w:left w:val="none" w:sz="0" w:space="0" w:color="auto"/>
                <w:bottom w:val="none" w:sz="0" w:space="0" w:color="auto"/>
                <w:right w:val="none" w:sz="0" w:space="0" w:color="auto"/>
              </w:divBdr>
            </w:div>
          </w:divsChild>
        </w:div>
        <w:div w:id="272713309">
          <w:marLeft w:val="0"/>
          <w:marRight w:val="0"/>
          <w:marTop w:val="0"/>
          <w:marBottom w:val="0"/>
          <w:divBdr>
            <w:top w:val="none" w:sz="0" w:space="0" w:color="auto"/>
            <w:left w:val="none" w:sz="0" w:space="0" w:color="auto"/>
            <w:bottom w:val="none" w:sz="0" w:space="0" w:color="auto"/>
            <w:right w:val="none" w:sz="0" w:space="0" w:color="auto"/>
          </w:divBdr>
          <w:divsChild>
            <w:div w:id="14340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869</Words>
  <Characters>4784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dc:creator>
  <cp:keywords/>
  <dc:description/>
  <cp:lastModifiedBy>Jimmy</cp:lastModifiedBy>
  <cp:revision>1</cp:revision>
  <dcterms:created xsi:type="dcterms:W3CDTF">2025-11-11T23:53:00Z</dcterms:created>
  <dcterms:modified xsi:type="dcterms:W3CDTF">2025-11-11T23:59:00Z</dcterms:modified>
</cp:coreProperties>
</file>