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CloudLab Copilot</w:t>
      </w:r>
    </w:p>
    <w:p>
      <w:pPr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CodeArts 协作开发规格书</w:t>
      </w:r>
    </w:p>
    <w:p>
      <w:pPr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华为 ICT 大赛中国创新赛 赛题一</w:t>
      </w:r>
    </w:p>
    <w:p>
      <w:pPr>
        <w:spacing w:before="480"/>
        <w:jc w:val="center"/>
      </w:pPr>
      <w:r>
        <w:rPr>
          <w:rFonts w:ascii="微软雅黑" w:hAnsi="微软雅黑" w:eastAsia="微软雅黑"/>
          <w:b w:val="0"/>
          <w:color w:val="000000"/>
          <w:sz w:val="24"/>
        </w:rPr>
        <w:t>ICT实验状态诊断、RAG知识检索与证据核验平台</w:t>
      </w:r>
    </w:p>
    <w:p>
      <w:pPr>
        <w:spacing w:before="640"/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版本 1.1    2026年10月20日</w:t>
      </w:r>
    </w:p>
    <w:p>
      <w:pPr>
        <w:spacing w:before="880"/>
        <w:jc w:val="center"/>
      </w:pPr>
      <w:r>
        <w:rPr>
          <w:rFonts w:ascii="微软雅黑" w:hAnsi="微软雅黑" w:eastAsia="微软雅黑"/>
          <w:b w:val="0"/>
          <w:color w:val="000000"/>
          <w:sz w:val="20"/>
        </w:rPr>
        <w:t>供参赛团队与华为云码道 CodeArts 代码智能体协作使用</w:t>
      </w:r>
    </w:p>
    <w:p>
      <w:r>
        <w:br w:type="page"/>
      </w:r>
    </w:p>
    <w:p>
      <w:pPr>
        <w:pStyle w:val="Heading1"/>
        <w:keepNext/>
      </w:pPr>
      <w:r>
        <w:t>1 项目摘要与已确认决策</w:t>
      </w:r>
    </w:p>
    <w:p>
      <w:pPr>
        <w:spacing w:line="300" w:lineRule="auto" w:after="100"/>
      </w:pPr>
      <w:r>
        <w:rPr>
          <w:rFonts w:ascii="微软雅黑" w:hAnsi="微软雅黑" w:eastAsia="微软雅黑"/>
          <w:b w:val="0"/>
          <w:color w:val="000000"/>
          <w:sz w:val="20"/>
        </w:rPr>
        <w:t>本说明书把目前讨论确定的方向转成可分阶段交给 CodeArts 智能体执行的工程规格。CloudLab Copilot 面向数据库与 Java 后端课程实验，结合实验步骤、学生执行记录、RAG检索和MaaS推理，解释错误、给出经安全校验的下一步，并整理实验报告证据。</w:t>
      </w:r>
    </w:p>
    <w:p>
      <w:pPr>
        <w:spacing w:line="300" w:lineRule="auto" w:after="100"/>
      </w:pPr>
      <w:r>
        <w:rPr>
          <w:rFonts w:ascii="微软雅黑" w:hAnsi="微软雅黑" w:eastAsia="微软雅黑"/>
          <w:b w:val="0"/>
          <w:color w:val="000000"/>
          <w:sz w:val="20"/>
        </w:rPr>
        <w:t>赛题一的三项任务按硬性验收处理：使用 CodeArts 代码智能体开发；通过已有智能体或 Skills 快速开通、创建或关联 RDS、Redis 等华为云服务；通过已有智能体或 Skills 将作品快速部署到华为云。要留存实际操作、服务连接和在线 Demo 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649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当前决定</w:t>
            </w:r>
          </w:p>
        </w:tc>
        <w:tc>
          <w:tcPr>
            <w:tcW w:type="dxa" w:w="3118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状态/说明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赛题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赛题一：基于华为云产品打造AI创新应用</w:t>
            </w:r>
          </w:p>
        </w:tc>
        <w:tc>
          <w:tcPr>
            <w:tcW w:type="dxa" w:w="311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已确定</w:t>
            </w:r>
          </w:p>
        </w:tc>
      </w:tr>
      <w:tr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项目主题</w:t>
            </w:r>
          </w:p>
        </w:tc>
        <w:tc>
          <w:tcPr>
            <w:tcW w:type="dxa" w:w="464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ICT实验状态感知诊断与证据核验</w:t>
            </w:r>
          </w:p>
        </w:tc>
        <w:tc>
          <w:tcPr>
            <w:tcW w:type="dxa" w:w="311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方案阶段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运行AI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华为云MaaS；密钥从环境配置读取</w:t>
            </w:r>
          </w:p>
        </w:tc>
        <w:tc>
          <w:tcPr>
            <w:tcW w:type="dxa" w:w="311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模型/API待核实</w:t>
            </w:r>
          </w:p>
        </w:tc>
      </w:tr>
      <w:tr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RAG</w:t>
            </w:r>
          </w:p>
        </w:tc>
        <w:tc>
          <w:tcPr>
            <w:tcW w:type="dxa" w:w="464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先结构化知识检索，再增加向量/混合检索</w:t>
            </w:r>
          </w:p>
        </w:tc>
        <w:tc>
          <w:tcPr>
            <w:tcW w:type="dxa" w:w="311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纳入目标设计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云资源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RDS、Redis、华为云部署资源</w:t>
            </w:r>
          </w:p>
        </w:tc>
        <w:tc>
          <w:tcPr>
            <w:tcW w:type="dxa" w:w="311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按比赛实际支持选型</w:t>
            </w:r>
          </w:p>
        </w:tc>
      </w:tr>
      <w:tr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量化结果</w:t>
            </w:r>
          </w:p>
        </w:tc>
        <w:tc>
          <w:tcPr>
            <w:tcW w:type="dxa" w:w="464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独立评测后报告真实数据</w:t>
            </w:r>
          </w:p>
        </w:tc>
        <w:tc>
          <w:tcPr>
            <w:tcW w:type="dxa" w:w="311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当前未实测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CodeArts协作规则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先读仓库并提交计划，得到确认后再修改；一次只完成一个模块。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只修改任务范围内文件；先列文件差异和潜在副作用。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每次结束都汇报变更、启动/验证方法、实际结果、未解决项。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不猜测云产品、MaaS接口或Skills能力；先按官方文档/控制台核实。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不执行用户提交的SQL或命令；只做文本分析和建议。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不在源码、日志、截图和Git历史中写出密钥、密码或个人数据。</w:t>
      </w:r>
    </w:p>
    <w:p>
      <w:pPr>
        <w:pStyle w:val="Heading1"/>
        <w:keepNext/>
      </w:pPr>
      <w:r>
        <w:t>2 用户场景、闭环和边界</w:t>
      </w:r>
    </w:p>
    <w:p>
      <w:pPr>
        <w:pStyle w:val="Heading2"/>
        <w:keepNext/>
      </w:pPr>
      <w:r>
        <w:t>2.1 用户与真实问题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学生遇到权限、连接、SQL或配置错误时，不知道原因和下一步。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通用模型不了解实验进度，可能给出超出当前步骤或版本不匹配的命令。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实验做完后经常缺验证结果、截图和报告证据。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教师重复答疑，难以归纳高频错误与课程薄弱点。</w:t>
      </w:r>
    </w:p>
    <w:p>
      <w:pPr>
        <w:pStyle w:val="Heading2"/>
        <w:keepNext/>
      </w:pPr>
      <w:r>
        <w:t>2.2 核心流程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选择实验 → 查看当前步骤/前置条件 → 提交命令输出或报错</w:t>
        <w:br/>
        <w:t>→ 读取会话状态 → RAG检索版本匹配资料 → MaaS生成结构化诊断</w:t>
        <w:br/>
        <w:t>→ 独立安全规则审查 → 展示原因、唯一下一步、预期结果、来源</w:t>
        <w:br/>
        <w:t>→ 学生执行并回填结果 → 推进实验状态 → 检查证据 → 生成报告</w:t>
      </w:r>
    </w:p>
    <w:p>
      <w:pPr>
        <w:pStyle w:val="Heading2"/>
        <w:keepNext/>
      </w:pPr>
      <w:r>
        <w:t>2.3 首期功能范围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31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首期包括</w:t>
            </w:r>
          </w:p>
        </w:tc>
        <w:tc>
          <w:tcPr>
            <w:tcW w:type="dxa" w:w="3969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实验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openGauss/MySQL基础实验；Java/MyBatis错误案例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仅支持有验证资料的产品和版本</w:t>
            </w:r>
          </w:p>
        </w:tc>
      </w:tr>
      <w:tr>
        <w:tc>
          <w:tcPr>
            <w:tcW w:type="dxa" w:w="153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会话</w:t>
            </w:r>
          </w:p>
        </w:tc>
        <w:tc>
          <w:tcPr>
            <w:tcW w:type="dxa" w:w="396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保存当前步骤、输入文本、输出和结果</w:t>
            </w:r>
          </w:p>
        </w:tc>
        <w:tc>
          <w:tcPr>
            <w:tcW w:type="dxa" w:w="396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不连接学生数据库，不运行命令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RAG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来源登记、文档切分、关键词/向量检索、来源引用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向量存储等待资源可用性确认</w:t>
            </w:r>
          </w:p>
        </w:tc>
      </w:tr>
      <w:tr>
        <w:tc>
          <w:tcPr>
            <w:tcW w:type="dxa" w:w="153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诊断</w:t>
            </w:r>
          </w:p>
        </w:tc>
        <w:tc>
          <w:tcPr>
            <w:tcW w:type="dxa" w:w="396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状态+检索结果+MaaS，输出固定字段</w:t>
            </w:r>
          </w:p>
        </w:tc>
        <w:tc>
          <w:tcPr>
            <w:tcW w:type="dxa" w:w="396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输出经服务端校验后展示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报告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步骤历史、证据清单、完成度和总结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不直接提交学校教务系统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技术栈与编程语言</w:t>
      </w:r>
    </w:p>
    <w:p>
      <w:pPr>
        <w:spacing w:line="300" w:lineRule="auto" w:after="100"/>
      </w:pPr>
      <w:r>
        <w:rPr>
          <w:rFonts w:ascii="微软雅黑" w:hAnsi="微软雅黑" w:eastAsia="微软雅黑"/>
          <w:b w:val="0"/>
          <w:color w:val="000000"/>
          <w:sz w:val="20"/>
        </w:rPr>
        <w:t>以下是推荐基线，不是赛事指定版本。先在 CodeArts/AI开发者空间确认运行环境、MaaS协议和云服务兼容性，再锁定精确依赖版本并记录在 README 与锁文件中。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87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628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技术与语言</w:t>
            </w:r>
          </w:p>
        </w:tc>
        <w:tc>
          <w:tcPr>
            <w:tcW w:type="dxa" w:w="4252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Java 17 LTS、Spring Boot 3.x、Spring Web/Validation</w:t>
            </w:r>
          </w:p>
        </w:tc>
        <w:tc>
          <w:tcPr>
            <w:tcW w:type="dxa" w:w="42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REST API、业务逻辑、状态控制和安全规则</w:t>
            </w:r>
          </w:p>
        </w:tc>
      </w:tr>
      <w:tr>
        <w:tc>
          <w:tcPr>
            <w:tcW w:type="dxa" w:w="1587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持久层</w:t>
            </w:r>
          </w:p>
        </w:tc>
        <w:tc>
          <w:tcPr>
            <w:tcW w:type="dxa" w:w="362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MyBatis 或 MyBatis-Plus（二选一）；Flyway或Liquibase（二选一）</w:t>
            </w:r>
          </w:p>
        </w:tc>
        <w:tc>
          <w:tcPr>
            <w:tcW w:type="dxa" w:w="425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RDS映射和数据库迁移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前端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TypeScript、React、Vite</w:t>
            </w:r>
          </w:p>
        </w:tc>
        <w:tc>
          <w:tcPr>
            <w:tcW w:type="dxa" w:w="42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实验工作台、诊断、引用、报告及教师统计</w:t>
            </w:r>
          </w:p>
        </w:tc>
      </w:tr>
      <w:tr>
        <w:tc>
          <w:tcPr>
            <w:tcW w:type="dxa" w:w="1587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关系数据</w:t>
            </w:r>
          </w:p>
        </w:tc>
        <w:tc>
          <w:tcPr>
            <w:tcW w:type="dxa" w:w="362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华为云RDS，选实际可用的兼容引擎</w:t>
            </w:r>
          </w:p>
        </w:tc>
        <w:tc>
          <w:tcPr>
            <w:tcW w:type="dxa" w:w="425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用户、实验、步骤、知识元数据、记录和报告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缓存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华为云Redis</w:t>
            </w:r>
          </w:p>
        </w:tc>
        <w:tc>
          <w:tcPr>
            <w:tcW w:type="dxa" w:w="42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短期会话、热点知识、限流；不是向量库</w:t>
            </w:r>
          </w:p>
        </w:tc>
      </w:tr>
      <w:tr>
        <w:tc>
          <w:tcPr>
            <w:tcW w:type="dxa" w:w="1587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模型服务</w:t>
            </w:r>
          </w:p>
        </w:tc>
        <w:tc>
          <w:tcPr>
            <w:tcW w:type="dxa" w:w="362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华为云MaaS API，Java HTTP客户端</w:t>
            </w:r>
          </w:p>
        </w:tc>
        <w:tc>
          <w:tcPr>
            <w:tcW w:type="dxa" w:w="425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错误解释、结构化下一步和报告摘要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RAG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Java检索适配层、向量/关键词混合检索</w:t>
            </w:r>
          </w:p>
        </w:tc>
        <w:tc>
          <w:tcPr>
            <w:tcW w:type="dxa" w:w="42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分块、元数据过滤、召回、引用与低相关度拒答</w:t>
            </w:r>
          </w:p>
        </w:tc>
      </w:tr>
      <w:tr>
        <w:tc>
          <w:tcPr>
            <w:tcW w:type="dxa" w:w="1587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文件</w:t>
            </w:r>
          </w:p>
        </w:tc>
        <w:tc>
          <w:tcPr>
            <w:tcW w:type="dxa" w:w="362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OBS（如赛事资源支持）</w:t>
            </w:r>
          </w:p>
        </w:tc>
        <w:tc>
          <w:tcPr>
            <w:tcW w:type="dxa" w:w="425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保存截图和导出件，RDS保存对象键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部署/配置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Docker、Skills、YAML、SQL</w:t>
            </w:r>
          </w:p>
        </w:tc>
        <w:tc>
          <w:tcPr>
            <w:tcW w:type="dxa" w:w="42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构建、部署、健康检查、环境配置</w:t>
            </w:r>
          </w:p>
        </w:tc>
      </w:tr>
      <w:tr>
        <w:tc>
          <w:tcPr>
            <w:tcW w:type="dxa" w:w="1587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数据/文档</w:t>
            </w:r>
          </w:p>
        </w:tc>
        <w:tc>
          <w:tcPr>
            <w:tcW w:type="dxa" w:w="362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JSON、CSV、Markdown；Python评测脚本可选</w:t>
            </w:r>
          </w:p>
        </w:tc>
        <w:tc>
          <w:tcPr>
            <w:tcW w:type="dxa" w:w="425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知识集、评测集、数据处理、复现文档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开工前必须核实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JDK、Node、构建工具和依赖的兼容版本。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可用RDS引擎、版本、地域、网络和白名单方式。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Redis版本、TLS/认证和网络连通要求。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MaaS模型名、鉴权、API格式、限额和Embedding模型可用性。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Skills支持的部署目标、镜像仓库、公网入口和费用范围。</w:t>
      </w:r>
    </w:p>
    <w:p>
      <w:pPr>
        <w:pStyle w:val="Heading1"/>
        <w:keepNext/>
      </w:pPr>
      <w:r>
        <w:t>4 项目目录结构</w:t>
      </w:r>
    </w:p>
    <w:p>
      <w:pPr>
        <w:spacing w:line="300" w:lineRule="auto" w:after="100"/>
      </w:pPr>
      <w:r>
        <w:rPr>
          <w:rFonts w:ascii="微软雅黑" w:hAnsi="微软雅黑" w:eastAsia="微软雅黑"/>
          <w:b w:val="0"/>
          <w:color w:val="000000"/>
          <w:sz w:val="20"/>
        </w:rPr>
        <w:t>采用前后端分离、模块化单体后端。首期不拆微服务，控制部署与调试复杂度。CodeArts应先检查现有仓库并提交映射方案，确认后再创建目录。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cloudlab-copilot/</w:t>
        <w:br/>
        <w:t>├─ backend/src/main/java/.../</w:t>
        <w:br/>
        <w:t>│  ├─ common/       # 统一响应、异常、校验</w:t>
        <w:br/>
        <w:t>│  ├─ config/       # RDS、Redis、MaaS、API文档配置</w:t>
        <w:br/>
        <w:t>│  ├─ lab/          # 实验定义、步骤、版本</w:t>
        <w:br/>
        <w:t>│  ├─ session/      # 会话、执行记录、状态机</w:t>
        <w:br/>
        <w:t>│  ├─ knowledge/    # 原始资料、知识条目、元数据</w:t>
        <w:br/>
        <w:t>│  ├─ retrieval/    # 分块、Embedding、关键词/向量混合检索</w:t>
        <w:br/>
        <w:t>│  ├─ diagnosis/    # 上下文、MaaS适配、结构化结果</w:t>
        <w:br/>
        <w:t>│  ├─ safety/       # 风险识别、拦截、人工审核状态</w:t>
        <w:br/>
        <w:t>│  ├─ evidence/     # 验证结果、截图索引、证据完整度</w:t>
        <w:br/>
        <w:t>│  ├─ report/       # 实验总结与报告</w:t>
        <w:br/>
        <w:t>│  └─ evaluation/   # 独立评测运行和结果统计</w:t>
        <w:br/>
        <w:t>├─ backend/src/main/resources/</w:t>
        <w:br/>
        <w:t>│  ├─ db/migration/ # SQL迁移</w:t>
        <w:br/>
        <w:t>│  └─ prompts/      # 版本化提示词</w:t>
        <w:br/>
        <w:t>├─ backend/src/test/ # 单元、集成、安全用例</w:t>
        <w:br/>
        <w:t>├─ frontend/src/{api,pages,components,types}/</w:t>
        <w:br/>
        <w:t>├─ dataset/{source_registry.csv,knowledge/,evaluation/,scripts/}</w:t>
        <w:br/>
        <w:t>├─ deploy/ docs/ skills/</w:t>
        <w:br/>
        <w:t>├─ .env.example README.md LICENSE docker-compose.yml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855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负责内容</w:t>
            </w:r>
          </w:p>
        </w:tc>
        <w:tc>
          <w:tcPr>
            <w:tcW w:type="dxa" w:w="3572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禁止越界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lab/session</w:t>
            </w:r>
          </w:p>
        </w:tc>
        <w:tc>
          <w:tcPr>
            <w:tcW w:type="dxa" w:w="385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实验定义、步骤、会话和合法状态转移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不调用模型、不执行命令</w:t>
            </w:r>
          </w:p>
        </w:tc>
      </w:tr>
      <w:tr>
        <w:tc>
          <w:tcPr>
            <w:tcW w:type="dxa" w:w="1984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knowledge/retrieval</w:t>
            </w:r>
          </w:p>
        </w:tc>
        <w:tc>
          <w:tcPr>
            <w:tcW w:type="dxa" w:w="385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来源、版本、知识片段和检索引用</w:t>
            </w:r>
          </w:p>
        </w:tc>
        <w:tc>
          <w:tcPr>
            <w:tcW w:type="dxa" w:w="357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不编写无来源答案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diagnosis</w:t>
            </w:r>
          </w:p>
        </w:tc>
        <w:tc>
          <w:tcPr>
            <w:tcW w:type="dxa" w:w="385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上下文组装和MaaS结构化调用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不能跳过安全层</w:t>
            </w:r>
          </w:p>
        </w:tc>
      </w:tr>
      <w:tr>
        <w:tc>
          <w:tcPr>
            <w:tcW w:type="dxa" w:w="1984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safety</w:t>
            </w:r>
          </w:p>
        </w:tc>
        <w:tc>
          <w:tcPr>
            <w:tcW w:type="dxa" w:w="385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独立审查建议并返回allow/reject/review</w:t>
            </w:r>
          </w:p>
        </w:tc>
        <w:tc>
          <w:tcPr>
            <w:tcW w:type="dxa" w:w="357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不信任模型自报风险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evidence/report</w:t>
            </w:r>
          </w:p>
        </w:tc>
        <w:tc>
          <w:tcPr>
            <w:tcW w:type="dxa" w:w="385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验证记录、证据清单、报告完整度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未验证步骤不能报成功</w:t>
            </w:r>
          </w:p>
        </w:tc>
      </w:tr>
      <w:tr>
        <w:tc>
          <w:tcPr>
            <w:tcW w:type="dxa" w:w="1984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evaluation</w:t>
            </w:r>
          </w:p>
        </w:tc>
        <w:tc>
          <w:tcPr>
            <w:tcW w:type="dxa" w:w="385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冻结数据版本、重放请求、汇总指标</w:t>
            </w:r>
          </w:p>
        </w:tc>
        <w:tc>
          <w:tcPr>
            <w:tcW w:type="dxa" w:w="357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评测答案不得线上检索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核心数据与接口</w:t>
      </w:r>
    </w:p>
    <w:p>
      <w:pPr>
        <w:pStyle w:val="Heading2"/>
        <w:keepNext/>
      </w:pPr>
      <w:r>
        <w:t>5.1 核心数据实体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082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代表字段</w:t>
            </w:r>
          </w:p>
        </w:tc>
        <w:tc>
          <w:tcPr>
            <w:tcW w:type="dxa" w:w="3458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Lab / LabStep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product, version, order, precondition, expected_result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定义实验和步骤</w:t>
            </w:r>
          </w:p>
        </w:tc>
      </w:tr>
      <w:tr>
        <w:tc>
          <w:tcPr>
            <w:tcW w:type="dxa" w:w="187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LabSession</w:t>
            </w:r>
          </w:p>
        </w:tc>
        <w:tc>
          <w:tcPr>
            <w:tcW w:type="dxa" w:w="408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user_id, lab_id, current_step, status</w:t>
            </w:r>
          </w:p>
        </w:tc>
        <w:tc>
          <w:tcPr>
            <w:tcW w:type="dxa" w:w="345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跟踪一次实验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ExecutionRecord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step_id, input_text, output_text, result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保存用户提交内容和观察结果</w:t>
            </w:r>
          </w:p>
        </w:tc>
      </w:tr>
      <w:tr>
        <w:tc>
          <w:tcPr>
            <w:tcW w:type="dxa" w:w="187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KnowledgeDocument</w:t>
            </w:r>
          </w:p>
        </w:tc>
        <w:tc>
          <w:tcPr>
            <w:tcW w:type="dxa" w:w="408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source_url, version, license, checksum</w:t>
            </w:r>
          </w:p>
        </w:tc>
        <w:tc>
          <w:tcPr>
            <w:tcW w:type="dxa" w:w="345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追溯原始资料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KnowledgeChunk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document_id, text, metadata, embedding_ref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检索片段及向量引用</w:t>
            </w:r>
          </w:p>
        </w:tc>
      </w:tr>
      <w:tr>
        <w:tc>
          <w:tcPr>
            <w:tcW w:type="dxa" w:w="187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Diagnosis</w:t>
            </w:r>
          </w:p>
        </w:tc>
        <w:tc>
          <w:tcPr>
            <w:tcW w:type="dxa" w:w="408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retrieved_ids, model, result_json, latency, token_usage</w:t>
            </w:r>
          </w:p>
        </w:tc>
        <w:tc>
          <w:tcPr>
            <w:tcW w:type="dxa" w:w="345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记录诊断输入输出及依据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SafetyDecision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diagnosis_id, rule_id, decision, reason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记录独立安全判断</w:t>
            </w:r>
          </w:p>
        </w:tc>
      </w:tr>
      <w:tr>
        <w:tc>
          <w:tcPr>
            <w:tcW w:type="dxa" w:w="187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EvidenceItem / Report</w:t>
            </w:r>
          </w:p>
        </w:tc>
        <w:tc>
          <w:tcPr>
            <w:tcW w:type="dxa" w:w="4082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object_key, verified, completeness</w:t>
            </w:r>
          </w:p>
        </w:tc>
        <w:tc>
          <w:tcPr>
            <w:tcW w:type="dxa" w:w="345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证据与报告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EvalCase / EvalResult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dataset_version, labels, output, score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可复现评测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建议API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GET  /api/labs                         # 实验列表</w:t>
        <w:br/>
        <w:t>GET  /api/labs/{id}/steps               # 实验步骤</w:t>
        <w:br/>
        <w:t>POST /api/sessions                      # 创建实验会话</w:t>
        <w:br/>
        <w:t>POST /api/sessions/{id}/records         # 保存执行输入与输出</w:t>
        <w:br/>
        <w:t>POST /api/sessions/{id}/diagnoses       # 检索+MaaS+安全审查</w:t>
        <w:br/>
        <w:t>POST /api/sessions/{id}/evidence        # 登记证据</w:t>
        <w:br/>
        <w:t>GET  /api/sessions/{id}/report          # 查看报告和完整度</w:t>
      </w:r>
    </w:p>
    <w:p>
      <w:pPr>
        <w:pStyle w:val="Heading1"/>
        <w:keepNext/>
      </w:pPr>
      <w:r>
        <w:t>6 RAG知识库与AI诊断</w:t>
      </w:r>
    </w:p>
    <w:p>
      <w:pPr>
        <w:spacing w:line="300" w:lineRule="auto" w:after="100"/>
      </w:pPr>
      <w:r>
        <w:rPr>
          <w:rFonts w:ascii="微软雅黑" w:hAnsi="微软雅黑" w:eastAsia="微软雅黑"/>
          <w:b w:val="0"/>
          <w:color w:val="000000"/>
          <w:sz w:val="20"/>
        </w:rPr>
        <w:t>知识库资料优先选择华为云、openGauss、MySQL、Java/MyBatis官方文档和可合法使用的实验材料。RAG纳入目标方案以提供版本匹配依据和可追溯引用。第一阶段可以用RDS结构化知识卡和关键词检索；随后接入可用向量存储，实现混合检索。向量存储尚未选定，须等赛事资源范围和MaaS Embedding能力确认后再决定。</w:t>
      </w:r>
    </w:p>
    <w:p>
      <w:pPr>
        <w:pStyle w:val="Heading2"/>
        <w:keepNext/>
      </w:pPr>
      <w:r>
        <w:t>6.1 数据处理</w:t>
      </w:r>
    </w:p>
    <w:p>
      <w:pPr>
        <w:spacing w:after="60"/>
        <w:ind w:left="283" w:hanging="255"/>
      </w:pPr>
      <w:r>
        <w:rPr>
          <w:rFonts w:ascii="微软雅黑" w:hAnsi="微软雅黑" w:eastAsia="微软雅黑"/>
          <w:b w:val="0"/>
          <w:color w:val="000000"/>
          <w:sz w:val="19"/>
        </w:rPr>
        <w:t>1. 登记来源、URL、章节、产品、版本、更新时间和许可。</w:t>
      </w:r>
    </w:p>
    <w:p>
      <w:pPr>
        <w:spacing w:after="60"/>
        <w:ind w:left="283" w:hanging="255"/>
      </w:pPr>
      <w:r>
        <w:rPr>
          <w:rFonts w:ascii="微软雅黑" w:hAnsi="微软雅黑" w:eastAsia="微软雅黑"/>
          <w:b w:val="0"/>
          <w:color w:val="000000"/>
          <w:sz w:val="19"/>
        </w:rPr>
        <w:t>2. 脱敏姓名、账号、手机号、IP、密码、Token和实验环境信息。</w:t>
      </w:r>
    </w:p>
    <w:p>
      <w:pPr>
        <w:spacing w:after="60"/>
        <w:ind w:left="283" w:hanging="255"/>
      </w:pPr>
      <w:r>
        <w:rPr>
          <w:rFonts w:ascii="微软雅黑" w:hAnsi="微软雅黑" w:eastAsia="微软雅黑"/>
          <w:b w:val="0"/>
          <w:color w:val="000000"/>
          <w:sz w:val="19"/>
        </w:rPr>
        <w:t>3. 按标题、章节和语义边界切分，片段保留文档ID、版本、章节和更新时间。</w:t>
      </w:r>
    </w:p>
    <w:p>
      <w:pPr>
        <w:spacing w:after="60"/>
        <w:ind w:left="283" w:hanging="255"/>
      </w:pPr>
      <w:r>
        <w:rPr>
          <w:rFonts w:ascii="微软雅黑" w:hAnsi="微软雅黑" w:eastAsia="微软雅黑"/>
          <w:b w:val="0"/>
          <w:color w:val="000000"/>
          <w:sz w:val="19"/>
        </w:rPr>
        <w:t>4. 对错误模式、原因、解决步骤和预期结果进行人工验证或双人复核。</w:t>
      </w:r>
    </w:p>
    <w:p>
      <w:pPr>
        <w:spacing w:after="60"/>
        <w:ind w:left="283" w:hanging="255"/>
      </w:pPr>
      <w:r>
        <w:rPr>
          <w:rFonts w:ascii="微软雅黑" w:hAnsi="微软雅黑" w:eastAsia="微软雅黑"/>
          <w:b w:val="0"/>
          <w:color w:val="000000"/>
          <w:sz w:val="19"/>
        </w:rPr>
        <w:t>5. 知识集与评测集按案例/来源隔离，禁止评测答案进入线上知识库。</w:t>
      </w:r>
    </w:p>
    <w:p>
      <w:pPr>
        <w:spacing w:after="60"/>
        <w:ind w:left="283" w:hanging="255"/>
      </w:pPr>
      <w:r>
        <w:rPr>
          <w:rFonts w:ascii="微软雅黑" w:hAnsi="微软雅黑" w:eastAsia="微软雅黑"/>
          <w:b w:val="0"/>
          <w:color w:val="000000"/>
          <w:sz w:val="19"/>
        </w:rPr>
        <w:t>6. 保存数据版本、校验和、导入时间和更新记录。</w:t>
      </w:r>
    </w:p>
    <w:p>
      <w:pPr>
        <w:pStyle w:val="Heading2"/>
        <w:keepNext/>
      </w:pPr>
      <w:r>
        <w:t>6.2 检索与回答流程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报错 + 实验上下文 → 按产品/版本/实验类型过滤</w:t>
        <w:br/>
        <w:t>→ 关键词召回 + 向量召回 → 融合/去重/可选重排序</w:t>
        <w:br/>
        <w:t>→ 相关度不足时拒答 → MaaS输出固定JSON并包含引用</w:t>
        <w:br/>
        <w:t>→ Schema校验 → 独立SafetyService → 返回用户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{</w:t>
        <w:br/>
        <w:t xml:space="preserve">  "reason": "基于状态和引用资料的原因说明",</w:t>
        <w:br/>
        <w:t xml:space="preserve">  "nextAction": "一条最小且安全的建议",</w:t>
        <w:br/>
        <w:t xml:space="preserve">  "expectedResult": "用户执行后应看到的结果",</w:t>
        <w:br/>
        <w:t xml:space="preserve">  "safetyNote": "风险和限制",</w:t>
        <w:br/>
        <w:t xml:space="preserve">  "citations": [{"documentId": "...", "section": "...", "url": "..."}],</w:t>
        <w:br/>
        <w:t xml:space="preserve">  "confidence": "high|medium|low"</w:t>
        <w:br/>
        <w:t>}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Redis只做缓存、短期会话和限流，不能替代RAG向量存储。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模型不得自动执行SQL/命令；安全规则必须在服务端执行。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无可靠来源或版本不匹配时明确提示，并要求补充信息或转人工。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模型超时、配额耗尽、JSON无效时，限次重试并提供检索摘要/友好降级。</w:t>
      </w:r>
    </w:p>
    <w:p>
      <w:pPr>
        <w:pStyle w:val="Heading1"/>
        <w:keepNext/>
      </w:pPr>
      <w:r>
        <w:t>7 重难点突破与验收证据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难点</w:t>
            </w:r>
          </w:p>
        </w:tc>
        <w:tc>
          <w:tcPr>
            <w:tcW w:type="dxa" w:w="4139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实现思路</w:t>
            </w:r>
          </w:p>
        </w:tc>
        <w:tc>
          <w:tcPr>
            <w:tcW w:type="dxa" w:w="3345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验收证据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状态机与步骤可靠性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前置条件、允许转移、验证条件在服务端建模</w:t>
            </w:r>
          </w:p>
        </w:tc>
        <w:tc>
          <w:tcPr>
            <w:tcW w:type="dxa" w:w="334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成功/失败/跳步/重复/并发测试</w:t>
            </w:r>
          </w:p>
        </w:tc>
      </w:tr>
      <w:tr>
        <w:tc>
          <w:tcPr>
            <w:tcW w:type="dxa" w:w="192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RAG版本召回</w:t>
            </w:r>
          </w:p>
        </w:tc>
        <w:tc>
          <w:tcPr>
            <w:tcW w:type="dxa" w:w="413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先元数据过滤，再混合召回；保留来源；低分拒答</w:t>
            </w:r>
          </w:p>
        </w:tc>
        <w:tc>
          <w:tcPr>
            <w:tcW w:type="dxa" w:w="334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独立查询集的Recall@K、引用复核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模型幻觉与格式漂移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固定Schema、字段校验、低随机性、有限重试、降级</w:t>
            </w:r>
          </w:p>
        </w:tc>
        <w:tc>
          <w:tcPr>
            <w:tcW w:type="dxa" w:w="334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JSON有效率、无依据拒答测试</w:t>
            </w:r>
          </w:p>
        </w:tc>
      </w:tr>
      <w:tr>
        <w:tc>
          <w:tcPr>
            <w:tcW w:type="dxa" w:w="192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危险命令</w:t>
            </w:r>
          </w:p>
        </w:tc>
        <w:tc>
          <w:tcPr>
            <w:tcW w:type="dxa" w:w="413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独立规则引擎阻断删除、TRUNCATE、超级权限、清审计</w:t>
            </w:r>
          </w:p>
        </w:tc>
        <w:tc>
          <w:tcPr>
            <w:tcW w:type="dxa" w:w="334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危险样例回归和漏拦截统计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评测泄漏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知识集与测试集隔离、冻结数据、人工复核标准答案</w:t>
            </w:r>
          </w:p>
        </w:tc>
        <w:tc>
          <w:tcPr>
            <w:tcW w:type="dxa" w:w="334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数据版本、原始输出、可重跑脚本</w:t>
            </w:r>
          </w:p>
        </w:tc>
      </w:tr>
      <w:tr>
        <w:tc>
          <w:tcPr>
            <w:tcW w:type="dxa" w:w="192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云服务连接</w:t>
            </w:r>
          </w:p>
        </w:tc>
        <w:tc>
          <w:tcPr>
            <w:tcW w:type="dxa" w:w="413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Skills执行后逐项验证地域、白名单、TLS、凭据和健康检查</w:t>
            </w:r>
          </w:p>
        </w:tc>
        <w:tc>
          <w:tcPr>
            <w:tcW w:type="dxa" w:w="334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Skill记录、RDS/Redis读写、在线Demo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成本/凭据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限流、缓存、用量预算、环境变量/密钥服务、日志脱敏</w:t>
            </w:r>
          </w:p>
        </w:tc>
        <w:tc>
          <w:tcPr>
            <w:tcW w:type="dxa" w:w="334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仓库扫描、用量记录、密钥未入库证明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可直接使用的CodeArts分阶段提示词</w:t>
      </w:r>
    </w:p>
    <w:p>
      <w:pPr>
        <w:pStyle w:val="Heading2"/>
        <w:keepNext/>
      </w:pPr>
      <w:r>
        <w:t>阶段0 仓库检查，只读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请只读检查当前仓库，不要修改任何文件。</w:t>
        <w:br/>
        <w:t>目标：构建CloudLab Copilot，面向openGauss/MySQL/Java后端实验，提供实验状态感知、RAG知识检索、MaaS诊断、安全建议和报告证据核验。</w:t>
        <w:br/>
        <w:t>请说明目录、构建方法、可复用模块、缺失项、依赖版本、潜在风险，并给出分阶段计划与每阶段验收标准。</w:t>
        <w:br/>
        <w:t>把事实与假设分开，等待我确认后再改代码。</w:t>
      </w:r>
    </w:p>
    <w:p>
      <w:pPr>
        <w:pStyle w:val="Heading2"/>
        <w:keepNext/>
      </w:pPr>
      <w:r>
        <w:t>阶段1 项目骨架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根据确认后的计划建立Spring Boot后端和React/TypeScript前端骨架。先核实JDK、Node及依赖兼容性并固定版本。只实现health接口、基础页面、配置读取和README；不要实现业务、AI或云资源操作。添加.env.example，确保无真实密钥。完成后列出变更和启动方法。</w:t>
      </w:r>
    </w:p>
    <w:p>
      <w:pPr>
        <w:pStyle w:val="Heading2"/>
        <w:keepNext/>
      </w:pPr>
      <w:r>
        <w:t>阶段2 实验和状态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实现Lab、LabStep、LabSession、ExecutionRecord及数据库迁移。服务端校验步骤转移；保存用户提交的文本，但绝不执行SQL/命令。只处理该模块，提供正常、失败、跳步、重复提交和非法状态测试。修改前先说明文件计划。</w:t>
      </w:r>
    </w:p>
    <w:p>
      <w:pPr>
        <w:pStyle w:val="Heading2"/>
        <w:keepNext/>
      </w:pPr>
      <w:r>
        <w:t>阶段3 结构化知识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实现知识来源登记、KnowledgeCard/Chunk和导入校验。字段包含来源URL、章节、产品、版本、许可和核验日期。先实现元数据过滤与关键词/错误码检索并返回引用。禁止导入dataset/evaluation中的评测答案。</w:t>
      </w:r>
    </w:p>
    <w:p>
      <w:pPr>
        <w:pStyle w:val="Heading2"/>
        <w:keepNext/>
      </w:pPr>
      <w:r>
        <w:t>阶段4 RAG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先核实当前允许的向量存储和MaaS Embedding能力，不要猜测服务可用性；提交选型、兼容、费用和替代方案后等待确认。确认后实现切分、元数据过滤、关键词+向量混合召回、去重、引用和低相关度拒答。检索接口应可替换底层实现。</w:t>
      </w:r>
    </w:p>
    <w:p>
      <w:pPr>
        <w:pStyle w:val="Heading2"/>
        <w:keepNext/>
      </w:pPr>
      <w:r>
        <w:t>阶段5 MaaS诊断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按华为官方当前API文档核实MaaS协议、鉴权、模型名、限额和超时。实现隔离的HuaweiMaaSClient，将实验状态与检索片段组成请求，返回固定JSON并验证Schema。密钥通过环境变量/密钥管理服务读取；实现超时、有限重试、脱敏日志和错误降级。绝不执行模型输出。</w:t>
      </w:r>
    </w:p>
    <w:p>
      <w:pPr>
        <w:pStyle w:val="Heading2"/>
        <w:keepNext/>
      </w:pPr>
      <w:r>
        <w:t>阶段6 安全和报告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实现独立SafetyService，对MaaS建议进行风险分类。删除数据库/Schema、TRUNCATE、删除审计记录、授予超级权限和未经确认的系统配置默认拒绝或转人工审核。实现EvidenceItem和报告完整度，未验证步骤不得记为成功。提供危险输入回归测试。</w:t>
      </w:r>
    </w:p>
    <w:p>
      <w:pPr>
        <w:pStyle w:val="Heading2"/>
        <w:keepNext/>
      </w:pPr>
      <w:r>
        <w:t>阶段7 RDS/Redis和Skills部署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先阅读本次赛事Skills说明和资源限制，列出将创建/关联的RDS、Redis及部署资源、地域、规格、费用、网络、凭据和回滚方案。等待人工确认后调用指定Skills。检查已有资源避免重复创建。部署后验证RDS读写、Redis连接、MaaS诊断、健康检查和公网Demo。输出操作记录，不能显示秘密。</w:t>
      </w:r>
    </w:p>
    <w:p>
      <w:pPr>
        <w:pStyle w:val="Heading2"/>
        <w:keepNext/>
      </w:pPr>
      <w:r>
        <w:t>阶段8 评测和发布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使用冻结且独立的evaluation数据，对比裸MaaS、加实验状态、状态+RAG+安全规则三组。保存原始响应和评分依据，计算分类准确率、下一步命中率、Recall@K、引用正确率、危险漏拦截率、JSON有效率、延迟和成本。仅报告真实脚本结果，更新README、数据说明、部署复现和许可证。</w:t>
      </w:r>
    </w:p>
    <w:p>
      <w:pPr>
        <w:pStyle w:val="Heading1"/>
        <w:keepNext/>
      </w:pPr>
      <w:r>
        <w:t>9 评测计划与指标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386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定义/方法</w:t>
            </w:r>
          </w:p>
        </w:tc>
        <w:tc>
          <w:tcPr>
            <w:tcW w:type="dxa" w:w="1701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原因分类准确率</w:t>
            </w:r>
          </w:p>
        </w:tc>
        <w:tc>
          <w:tcPr>
            <w:tcW w:type="dxa" w:w="538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预测类别与人工标注一致比例；报告样本量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待实测</w:t>
            </w:r>
          </w:p>
        </w:tc>
      </w:tr>
      <w:tr>
        <w:tc>
          <w:tcPr>
            <w:tcW w:type="dxa" w:w="226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下一步命中率</w:t>
            </w:r>
          </w:p>
        </w:tc>
        <w:tc>
          <w:tcPr>
            <w:tcW w:type="dxa" w:w="5386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建议与人工标准操作等价比例；双人复核</w:t>
            </w:r>
          </w:p>
        </w:tc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待实测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Recall@K</w:t>
            </w:r>
          </w:p>
        </w:tc>
        <w:tc>
          <w:tcPr>
            <w:tcW w:type="dxa" w:w="538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前K片段召回相关依据的查询比例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待实测</w:t>
            </w:r>
          </w:p>
        </w:tc>
      </w:tr>
      <w:tr>
        <w:tc>
          <w:tcPr>
            <w:tcW w:type="dxa" w:w="226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引用正确率</w:t>
            </w:r>
          </w:p>
        </w:tc>
        <w:tc>
          <w:tcPr>
            <w:tcW w:type="dxa" w:w="5386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来源真实支持结论且版本正确的比例</w:t>
            </w:r>
          </w:p>
        </w:tc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待实测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危险建议漏拦截率</w:t>
            </w:r>
          </w:p>
        </w:tc>
        <w:tc>
          <w:tcPr>
            <w:tcW w:type="dxa" w:w="538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高风险建议未拦截比例；目标测试集为0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待实测</w:t>
            </w:r>
          </w:p>
        </w:tc>
      </w:tr>
      <w:tr>
        <w:tc>
          <w:tcPr>
            <w:tcW w:type="dxa" w:w="2268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JSON有效率</w:t>
            </w:r>
          </w:p>
        </w:tc>
        <w:tc>
          <w:tcPr>
            <w:tcW w:type="dxa" w:w="5386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响应通过Schema校验的比例</w:t>
            </w:r>
          </w:p>
        </w:tc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待实测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延迟/成本</w:t>
            </w:r>
          </w:p>
        </w:tc>
        <w:tc>
          <w:tcPr>
            <w:tcW w:type="dxa" w:w="538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端到端P50/P95与每次模型Token/云资源成本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待实测</w:t>
            </w:r>
          </w:p>
        </w:tc>
      </w:tr>
    </w:tbl>
    <w:p>
      <w:pPr>
        <w:spacing w:after="0"/>
      </w:pPr>
    </w:p>
    <w:p>
      <w:pPr>
        <w:spacing w:line="300" w:lineRule="auto" w:after="100"/>
      </w:pPr>
      <w:r>
        <w:rPr>
          <w:rFonts w:ascii="微软雅黑" w:hAnsi="微软雅黑" w:eastAsia="微软雅黑"/>
          <w:b w:val="0"/>
          <w:color w:val="000000"/>
          <w:sz w:val="20"/>
        </w:rPr>
        <w:t>目标阈值在小样本试运行后确定。不得事先编造准确率或提升比例。正式材料应同时给出数据/模型版本、参数、样本量、原始输出、评分规则和可复现脚本。</w:t>
      </w:r>
    </w:p>
    <w:p>
      <w:pPr>
        <w:pStyle w:val="Heading1"/>
        <w:keepNext/>
      </w:pPr>
      <w:r>
        <w:t>10 云上部署和比赛交付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CodeArts完成功能开发与问题修复</w:t>
        <w:br/>
        <w:t>→ 用Skills开通/关联华为云RDS、Redis</w:t>
        <w:br/>
        <w:t>→ 配置MaaS和数据库秘密</w:t>
        <w:br/>
        <w:t>→ 用Skills部署前后端至赛事限定资源</w:t>
        <w:br/>
        <w:t>→ 健康检查、冒烟测试、记录在线Demo和部署证据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代金券额度、期限和支持服务未确认前，不绑定具体ECS/CCE/向量数据库规格。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本地开发可用兼容环境，但最终必须在获批华为云资源验证运行。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初赛提交模板1；建议附PPT、设计文件、短视频、数据处理及真实量化指标。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中国总决赛需在线Demo、完整代码、数据集、README复现步骤和开源截图。</w:t>
      </w:r>
    </w:p>
    <w:p>
      <w:pPr>
        <w:spacing w:after="60"/>
        <w:ind w:left="255" w:hanging="170"/>
      </w:pPr>
      <w:r>
        <w:rPr>
          <w:rFonts w:ascii="微软雅黑" w:hAnsi="微软雅黑" w:eastAsia="微软雅黑"/>
          <w:b w:val="0"/>
          <w:color w:val="000000"/>
          <w:sz w:val="19"/>
        </w:rPr>
        <w:t>• 全球总决赛增加真实试用、反馈、开源社区数据或其他落地进展。</w:t>
      </w:r>
    </w:p>
    <w:p>
      <w:pPr>
        <w:pStyle w:val="Heading2"/>
        <w:keepNext/>
      </w:pPr>
      <w:r>
        <w:t>10.1 仓库发布结构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cloudlab-copilot/</w:t>
        <w:br/>
        <w:t>├─ backend/ frontend/</w:t>
        <w:br/>
        <w:t>├─ dataset/knowledge/ dataset/evaluation/ dataset/scripts/</w:t>
        <w:br/>
        <w:t>├─ evaluation/ deploy/ docs/ skills/</w:t>
        <w:br/>
        <w:t>├─ .env.example README.md LICENSE docker-compose.yml</w:t>
      </w:r>
    </w:p>
    <w:p>
      <w:pPr>
        <w:spacing w:line="300" w:lineRule="auto" w:after="100"/>
      </w:pPr>
      <w:r>
        <w:rPr>
          <w:rFonts w:ascii="微软雅黑" w:hAnsi="微软雅黑" w:eastAsia="微软雅黑"/>
          <w:b w:val="0"/>
          <w:color w:val="000000"/>
          <w:sz w:val="20"/>
        </w:rPr>
        <w:t>README须说明运行环境、依赖版本、环境变量、数据库迁移、数据来源与许可、知识/评测集隔离、启动方法、华为云部署步骤、评测脚本、Demo地址和限制。参考 interview-guide 等项目时必须保留许可并披露来源；建议比赛核心代码放在新建仓库，清楚区分复用与自主实现。</w:t>
      </w:r>
    </w:p>
    <w:p>
      <w:pPr>
        <w:pStyle w:val="Heading1"/>
        <w:keepNext/>
      </w:pPr>
      <w:r>
        <w:t>11 里程碑与完成标准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主要产出</w:t>
            </w:r>
          </w:p>
        </w:tc>
        <w:tc>
          <w:tcPr>
            <w:tcW w:type="dxa" w:w="3685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阶段验收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M0 需求基线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CodeArts只读报告、确认后的架构与目录</w:t>
            </w:r>
          </w:p>
        </w:tc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功能边界和选型问题清楚</w:t>
            </w:r>
          </w:p>
        </w:tc>
      </w:tr>
      <w:tr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M1 基础骨架</w:t>
            </w:r>
          </w:p>
        </w:tc>
        <w:tc>
          <w:tcPr>
            <w:tcW w:type="dxa" w:w="396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前后端启动、健康检查、配置样例</w:t>
            </w:r>
          </w:p>
        </w:tc>
        <w:tc>
          <w:tcPr>
            <w:tcW w:type="dxa" w:w="368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第三方按README可启动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M2 实验闭环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一个openGauss实验从开始到报告证据</w:t>
            </w:r>
          </w:p>
        </w:tc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状态转换和错误路径可重放</w:t>
            </w:r>
          </w:p>
        </w:tc>
      </w:tr>
      <w:tr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M3 RAG/MaaS</w:t>
            </w:r>
          </w:p>
        </w:tc>
        <w:tc>
          <w:tcPr>
            <w:tcW w:type="dxa" w:w="396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检索、来源、结构化诊断、低相关度处理</w:t>
            </w:r>
          </w:p>
        </w:tc>
        <w:tc>
          <w:tcPr>
            <w:tcW w:type="dxa" w:w="368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离线样例稳定且有来源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M4 安全和评测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规则防护、独立评测集、评测脚本</w:t>
            </w:r>
          </w:p>
        </w:tc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危险案例检查，指标可复现</w:t>
            </w:r>
          </w:p>
        </w:tc>
      </w:tr>
      <w:tr>
        <w:tc>
          <w:tcPr>
            <w:tcW w:type="dxa" w:w="1701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M5 华为云交付</w:t>
            </w:r>
          </w:p>
        </w:tc>
        <w:tc>
          <w:tcPr>
            <w:tcW w:type="dxa" w:w="3969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Skills开通RDS/Redis并部署在线Demo</w:t>
            </w:r>
          </w:p>
        </w:tc>
        <w:tc>
          <w:tcPr>
            <w:tcW w:type="dxa" w:w="3685"/>
            <w:shd w:fill="F3F6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服务连通、在线交互、证据完整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M6 参赛发布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开源仓库、文档、视频和材料</w:t>
            </w:r>
          </w:p>
        </w:tc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提交版本与实测功能一致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CodeArts每次任务的汇报格式</w:t>
      </w:r>
    </w:p>
    <w:p>
      <w:pPr>
        <w:spacing w:before="60" w:after="140" w:line="240" w:lineRule="auto"/>
        <w:ind w:left="227" w:right="227"/>
        <w:shd w:fill="F2F4F7"/>
      </w:pPr>
      <w:r>
        <w:rPr>
          <w:rFonts w:ascii="Consolas" w:hAnsi="Consolas" w:eastAsia="Consolas"/>
          <w:b w:val="0"/>
          <w:color w:val="000000"/>
          <w:sz w:val="16"/>
        </w:rPr>
        <w:t>本次任务：</w:t>
        <w:br/>
        <w:t>读取文件：</w:t>
        <w:br/>
        <w:t>新增/修改文件：</w:t>
        <w:br/>
        <w:t>实现内容：</w:t>
        <w:br/>
        <w:t>接口/数据变更：</w:t>
        <w:br/>
        <w:t>执行命令及真实输出：</w:t>
        <w:br/>
        <w:t>验收结果：</w:t>
        <w:br/>
        <w:t>安全与秘密检查：</w:t>
        <w:br/>
        <w:t>未完成事项或假设：</w:t>
        <w:br/>
        <w:t>建议下一任务：</w:t>
      </w:r>
    </w:p>
    <w:p>
      <w:pPr>
        <w:spacing w:line="300" w:lineRule="auto" w:after="100"/>
      </w:pPr>
      <w:r>
        <w:rPr>
          <w:rFonts w:ascii="微软雅黑" w:hAnsi="微软雅黑" w:eastAsia="微软雅黑"/>
          <w:b w:val="0"/>
          <w:color w:val="000000"/>
          <w:sz w:val="20"/>
        </w:rPr>
        <w:t>每阶段由团队核对代码差异、实际运行结果与验收条件后再进入下一阶段。本文件描述目标和方法，不把未实施的能力、资源连接或评测结果表述为已经完成。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CloudLab Copilot CodeArts协作开发规格书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CloudLab Copilot CodeArts协作开发规格书</dc:title>
  <dc:subject>华为ICT大赛赛题一项目工程规格</dc:subject>
  <dc:creator>参赛团队</dc:creator>
  <cp:keywords>CodeArts, RAG, MaaS, RDS, Redis, ICT实验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