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0CA" w:rsidRDefault="00CD3D69">
      <w:pPr>
        <w:jc w:val="center"/>
        <w:rPr>
          <w:highlight w:val="white"/>
        </w:rPr>
      </w:pPr>
      <w:r>
        <w:rPr>
          <w:rFonts w:ascii="Times" w:eastAsia="Times" w:hAnsi="Times" w:cs="Times"/>
          <w:color w:val="000000"/>
          <w:highlight w:val="white"/>
        </w:rPr>
        <w:t>DECLARACIÓN</w:t>
      </w:r>
      <w:r>
        <w:rPr>
          <w:color w:val="000000"/>
          <w:highlight w:val="white"/>
        </w:rPr>
        <w:t xml:space="preserve"> N</w:t>
      </w:r>
      <w:proofErr w:type="gramStart"/>
      <w:r>
        <w:rPr>
          <w:color w:val="000000"/>
          <w:highlight w:val="white"/>
        </w:rPr>
        <w:t>.º</w:t>
      </w:r>
      <w:proofErr w:type="gramEnd"/>
      <w:r>
        <w:rPr>
          <w:color w:val="000000"/>
          <w:highlight w:val="white"/>
        </w:rPr>
        <w:t xml:space="preserve"> 2689-CM-20</w:t>
      </w:r>
    </w:p>
    <w:p w:rsidR="00FE20CA" w:rsidRDefault="00FE20CA">
      <w:pPr>
        <w:jc w:val="both"/>
        <w:rPr>
          <w:color w:val="000000"/>
        </w:rPr>
      </w:pPr>
    </w:p>
    <w:p w:rsidR="00FE20CA" w:rsidRDefault="00CD3D69">
      <w:pPr>
        <w:ind w:left="3458" w:hanging="3458"/>
        <w:jc w:val="both"/>
        <w:rPr>
          <w:color w:val="000000"/>
        </w:rPr>
      </w:pPr>
      <w:r>
        <w:rPr>
          <w:color w:val="000000"/>
        </w:rPr>
        <w:t xml:space="preserve">DESCRIPCIÓN SINTÉTICA: </w:t>
      </w:r>
      <w:r>
        <w:rPr>
          <w:color w:val="000000"/>
        </w:rPr>
        <w:t>DECLARA</w:t>
      </w:r>
      <w:r w:rsidR="0005028E">
        <w:rPr>
          <w:color w:val="000000"/>
        </w:rPr>
        <w:t xml:space="preserve"> DE</w:t>
      </w:r>
      <w:r>
        <w:rPr>
          <w:color w:val="000000"/>
        </w:rPr>
        <w:t xml:space="preserve"> INTERÉS MUNICIPAL Y CULTURAL PROYECTO LARGOMETRAJE DE FICCIÓN </w:t>
      </w:r>
      <w:r w:rsidR="0005028E">
        <w:rPr>
          <w:i/>
          <w:color w:val="000000"/>
        </w:rPr>
        <w:t>CIMARRÓ</w:t>
      </w:r>
      <w:r>
        <w:rPr>
          <w:i/>
          <w:color w:val="000000"/>
        </w:rPr>
        <w:t>N</w:t>
      </w:r>
    </w:p>
    <w:p w:rsidR="00FE20CA" w:rsidRDefault="00CD3D69">
      <w:pPr>
        <w:ind w:left="3069" w:hanging="3085"/>
        <w:jc w:val="both"/>
        <w:rPr>
          <w:color w:val="000000"/>
        </w:rPr>
      </w:pPr>
      <w:r>
        <w:rPr>
          <w:color w:val="000000"/>
        </w:rPr>
        <w:t>ANTECEDENTES</w:t>
      </w:r>
    </w:p>
    <w:p w:rsidR="00FE20CA" w:rsidRDefault="00FE20CA">
      <w:pPr>
        <w:ind w:left="3069" w:hanging="3085"/>
        <w:jc w:val="both"/>
        <w:rPr>
          <w:color w:val="000000"/>
        </w:rPr>
      </w:pPr>
    </w:p>
    <w:p w:rsidR="00FE20CA" w:rsidRDefault="00CD3D69">
      <w:pPr>
        <w:ind w:firstLine="283"/>
        <w:jc w:val="both"/>
        <w:rPr>
          <w:color w:val="000000"/>
        </w:rPr>
      </w:pPr>
      <w:r>
        <w:rPr>
          <w:color w:val="000000"/>
        </w:rPr>
        <w:t>Carta Orgánica Municipal.</w:t>
      </w:r>
    </w:p>
    <w:p w:rsidR="00FE20CA" w:rsidRDefault="00FE20CA">
      <w:pPr>
        <w:ind w:firstLine="283"/>
        <w:jc w:val="both"/>
        <w:rPr>
          <w:color w:val="000000"/>
        </w:rPr>
      </w:pPr>
    </w:p>
    <w:p w:rsidR="00FE20CA" w:rsidRDefault="00CD3D69">
      <w:pPr>
        <w:ind w:firstLine="283"/>
        <w:jc w:val="both"/>
        <w:rPr>
          <w:color w:val="000000"/>
        </w:rPr>
      </w:pPr>
      <w:r>
        <w:rPr>
          <w:color w:val="000000"/>
        </w:rPr>
        <w:t xml:space="preserve">Ordenanza 2071-CM-10: Jerarquización de las declaraciones de interés del Concejo Municipal. Reglamentación. </w:t>
      </w:r>
    </w:p>
    <w:p w:rsidR="00FE20CA" w:rsidRDefault="00FE20CA">
      <w:pPr>
        <w:ind w:firstLine="283"/>
        <w:jc w:val="both"/>
        <w:rPr>
          <w:color w:val="000000"/>
        </w:rPr>
      </w:pPr>
    </w:p>
    <w:p w:rsidR="00FE20CA" w:rsidRDefault="00CD3D69">
      <w:pPr>
        <w:ind w:firstLine="283"/>
        <w:jc w:val="both"/>
        <w:rPr>
          <w:color w:val="000000"/>
        </w:rPr>
      </w:pPr>
      <w:r>
        <w:rPr>
          <w:color w:val="000000"/>
        </w:rPr>
        <w:t>Ordenanza 3030-CM-18: Modifica ordenanza 2934-CM-18, regulación actividad fílmica audiovisual.</w:t>
      </w:r>
    </w:p>
    <w:p w:rsidR="00FE20CA" w:rsidRDefault="00FE20CA">
      <w:pPr>
        <w:ind w:firstLine="283"/>
        <w:jc w:val="both"/>
        <w:rPr>
          <w:color w:val="000000"/>
        </w:rPr>
      </w:pPr>
    </w:p>
    <w:p w:rsidR="00FE20CA" w:rsidRDefault="00CD3D69">
      <w:pPr>
        <w:ind w:firstLine="283"/>
        <w:jc w:val="both"/>
        <w:rPr>
          <w:color w:val="000000"/>
        </w:rPr>
      </w:pPr>
      <w:r>
        <w:rPr>
          <w:color w:val="000000"/>
        </w:rPr>
        <w:t>Ordenanza 2934-CM-18: Crea Comisión Fílmica Barilo</w:t>
      </w:r>
      <w:r>
        <w:rPr>
          <w:color w:val="000000"/>
        </w:rPr>
        <w:t xml:space="preserve">che para fomentar, regular y consolidar la industria audiovisual. Se crea Registro de Profesionales, se crea partida presupuestaria, establece régimen </w:t>
      </w:r>
      <w:r w:rsidR="0005028E">
        <w:rPr>
          <w:color w:val="000000"/>
        </w:rPr>
        <w:t xml:space="preserve">de </w:t>
      </w:r>
      <w:r>
        <w:rPr>
          <w:color w:val="000000"/>
        </w:rPr>
        <w:t>sanciones, modifica Ordenanza Fiscal 2374-CM-12.</w:t>
      </w:r>
    </w:p>
    <w:p w:rsidR="00FE20CA" w:rsidRDefault="00FE20CA">
      <w:pPr>
        <w:ind w:firstLine="283"/>
        <w:jc w:val="both"/>
        <w:rPr>
          <w:color w:val="000000"/>
        </w:rPr>
      </w:pPr>
    </w:p>
    <w:p w:rsidR="00FE20CA" w:rsidRDefault="00CD3D69">
      <w:pPr>
        <w:ind w:firstLine="283"/>
        <w:jc w:val="both"/>
        <w:rPr>
          <w:color w:val="000000"/>
        </w:rPr>
      </w:pPr>
      <w:r>
        <w:rPr>
          <w:color w:val="000000"/>
        </w:rPr>
        <w:t xml:space="preserve">Declaración 2085-CM-16: Se declara </w:t>
      </w:r>
      <w:r w:rsidR="0005028E">
        <w:rPr>
          <w:color w:val="000000"/>
        </w:rPr>
        <w:t xml:space="preserve">de </w:t>
      </w:r>
      <w:r>
        <w:rPr>
          <w:color w:val="000000"/>
        </w:rPr>
        <w:t xml:space="preserve">interés municipal y </w:t>
      </w:r>
      <w:r>
        <w:rPr>
          <w:color w:val="000000"/>
        </w:rPr>
        <w:t>cultural la producción fílmica El Azote.</w:t>
      </w:r>
    </w:p>
    <w:p w:rsidR="00FE20CA" w:rsidRDefault="00FE20CA">
      <w:pPr>
        <w:ind w:firstLine="283"/>
        <w:jc w:val="both"/>
        <w:rPr>
          <w:color w:val="000000"/>
        </w:rPr>
      </w:pPr>
    </w:p>
    <w:p w:rsidR="00FE20CA" w:rsidRDefault="00CD3D69">
      <w:pPr>
        <w:ind w:firstLine="283"/>
        <w:jc w:val="both"/>
        <w:rPr>
          <w:color w:val="000000"/>
        </w:rPr>
      </w:pPr>
      <w:r>
        <w:rPr>
          <w:color w:val="000000"/>
        </w:rPr>
        <w:t>Resolución 2020-284-APN-INCAA#MC, del Instituto Nacional</w:t>
      </w:r>
      <w:r w:rsidR="0005028E">
        <w:rPr>
          <w:color w:val="000000"/>
        </w:rPr>
        <w:t xml:space="preserve"> de Cine y Artes Audiovisuales.</w:t>
      </w:r>
      <w:r>
        <w:rPr>
          <w:color w:val="000000"/>
        </w:rPr>
        <w:t xml:space="preserve"> Llamado al 12º Concurso Federal de Proyectos de Largometraje R</w:t>
      </w:r>
      <w:r w:rsidR="0005028E">
        <w:rPr>
          <w:color w:val="000000"/>
        </w:rPr>
        <w:t>aymundo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</w:t>
      </w:r>
      <w:r w:rsidR="0005028E">
        <w:rPr>
          <w:color w:val="000000"/>
        </w:rPr>
        <w:t>leyze</w:t>
      </w:r>
      <w:proofErr w:type="spellEnd"/>
      <w:r w:rsidR="0005028E">
        <w:rPr>
          <w:color w:val="000000"/>
        </w:rPr>
        <w:t>.</w:t>
      </w:r>
      <w:r>
        <w:rPr>
          <w:color w:val="000000"/>
        </w:rPr>
        <w:t xml:space="preserve"> </w:t>
      </w:r>
      <w:r w:rsidR="0005028E">
        <w:rPr>
          <w:color w:val="000000"/>
        </w:rPr>
        <w:t>Edición virtual</w:t>
      </w:r>
      <w:r>
        <w:rPr>
          <w:color w:val="000000"/>
        </w:rPr>
        <w:t>.</w:t>
      </w:r>
    </w:p>
    <w:p w:rsidR="00FE20CA" w:rsidRDefault="00FE20CA">
      <w:pPr>
        <w:ind w:left="3069" w:hanging="3085"/>
        <w:jc w:val="both"/>
        <w:rPr>
          <w:color w:val="000000"/>
        </w:rPr>
      </w:pPr>
    </w:p>
    <w:p w:rsidR="00FE20CA" w:rsidRDefault="00FE20CA">
      <w:pPr>
        <w:jc w:val="both"/>
        <w:rPr>
          <w:color w:val="000000"/>
        </w:rPr>
      </w:pPr>
    </w:p>
    <w:p w:rsidR="00FE20CA" w:rsidRDefault="00CD3D69">
      <w:pPr>
        <w:ind w:left="3069" w:hanging="3085"/>
        <w:jc w:val="both"/>
        <w:rPr>
          <w:color w:val="000000"/>
        </w:rPr>
      </w:pPr>
      <w:r>
        <w:rPr>
          <w:color w:val="000000"/>
        </w:rPr>
        <w:t>FUNDAMENTOS</w:t>
      </w:r>
    </w:p>
    <w:p w:rsidR="00FE20CA" w:rsidRDefault="00FE20CA">
      <w:pPr>
        <w:ind w:left="3069" w:hanging="3085"/>
        <w:jc w:val="both"/>
        <w:rPr>
          <w:color w:val="000000"/>
        </w:rPr>
      </w:pPr>
    </w:p>
    <w:p w:rsidR="00FE20CA" w:rsidRDefault="00CD3D69">
      <w:pPr>
        <w:ind w:firstLine="283"/>
        <w:jc w:val="both"/>
        <w:rPr>
          <w:color w:val="000000"/>
        </w:rPr>
      </w:pPr>
      <w:r>
        <w:rPr>
          <w:color w:val="000000"/>
        </w:rPr>
        <w:t>El proyecto d</w:t>
      </w:r>
      <w:r>
        <w:rPr>
          <w:color w:val="000000"/>
        </w:rPr>
        <w:t>e largometraje titulado Cimarrón, de producción cinematográfica independiente a desarrollarse íntegramente en la ciudad de San Carlos de Bariloche, se encuentra en</w:t>
      </w:r>
      <w:r w:rsidR="0005028E">
        <w:rPr>
          <w:color w:val="000000"/>
        </w:rPr>
        <w:t xml:space="preserve"> vías de ser presentado en el </w:t>
      </w:r>
      <w:r>
        <w:rPr>
          <w:color w:val="000000"/>
        </w:rPr>
        <w:t>12º Concurso Federal de Desarrollo de Proyectos de Largometra</w:t>
      </w:r>
      <w:r>
        <w:rPr>
          <w:color w:val="000000"/>
        </w:rPr>
        <w:t xml:space="preserve">je Raymundo </w:t>
      </w:r>
      <w:proofErr w:type="spellStart"/>
      <w:r>
        <w:rPr>
          <w:color w:val="000000"/>
        </w:rPr>
        <w:t>Gleyzer</w:t>
      </w:r>
      <w:proofErr w:type="spellEnd"/>
      <w:r>
        <w:rPr>
          <w:color w:val="000000"/>
        </w:rPr>
        <w:t>”, desarrollado por el Instituto Nacional de Cine y Artes Audiovisual</w:t>
      </w:r>
      <w:r w:rsidR="0005028E">
        <w:rPr>
          <w:color w:val="000000"/>
        </w:rPr>
        <w:t>es (INCAA), representando a la región p</w:t>
      </w:r>
      <w:r>
        <w:rPr>
          <w:color w:val="000000"/>
        </w:rPr>
        <w:t>atagónica . Dicho concurso fue creado a efectos de brindar oportunidades a jóvenes realizadores de producir su primera película.</w:t>
      </w:r>
    </w:p>
    <w:p w:rsidR="00FE20CA" w:rsidRDefault="00FE20CA">
      <w:pPr>
        <w:ind w:firstLine="283"/>
        <w:jc w:val="both"/>
        <w:rPr>
          <w:color w:val="000000"/>
        </w:rPr>
      </w:pPr>
    </w:p>
    <w:p w:rsidR="00FE20CA" w:rsidRDefault="00CD3D69">
      <w:pPr>
        <w:ind w:firstLine="283"/>
        <w:jc w:val="both"/>
        <w:rPr>
          <w:color w:val="000000"/>
        </w:rPr>
      </w:pPr>
      <w:r>
        <w:rPr>
          <w:color w:val="000000"/>
        </w:rPr>
        <w:lastRenderedPageBreak/>
        <w:t>Cimarrón es un largometraje cinematográfico que busca representar la identidad barilochense a través de la historia de un adolescente de</w:t>
      </w:r>
      <w:r w:rsidR="0005028E">
        <w:rPr>
          <w:color w:val="000000"/>
        </w:rPr>
        <w:t>l barrio</w:t>
      </w:r>
      <w:r>
        <w:rPr>
          <w:color w:val="000000"/>
        </w:rPr>
        <w:t xml:space="preserve"> alto que debe interrumpir sus vacaciones de verano para generar recursos y aportar dinero a su familia desc</w:t>
      </w:r>
      <w:r>
        <w:rPr>
          <w:color w:val="000000"/>
        </w:rPr>
        <w:t xml:space="preserve">ompuesta. Trabajando con los caballos de un vecino, </w:t>
      </w:r>
      <w:proofErr w:type="spellStart"/>
      <w:r>
        <w:rPr>
          <w:color w:val="000000"/>
        </w:rPr>
        <w:t>Aaron</w:t>
      </w:r>
      <w:proofErr w:type="spellEnd"/>
      <w:r>
        <w:rPr>
          <w:color w:val="000000"/>
        </w:rPr>
        <w:t xml:space="preserve"> (protagonista) descubre un mundo oculto de infancias hurtadas, perros de la calle y marginalidad. En este contexto, el protagonista se revela y pone a prueba su libertad poniendo a prueba los límite</w:t>
      </w:r>
      <w:r>
        <w:rPr>
          <w:color w:val="000000"/>
        </w:rPr>
        <w:t>s de sus propios códigos.</w:t>
      </w:r>
    </w:p>
    <w:p w:rsidR="00FE20CA" w:rsidRDefault="00FE20CA">
      <w:pPr>
        <w:ind w:firstLine="283"/>
        <w:jc w:val="both"/>
        <w:rPr>
          <w:color w:val="000000"/>
        </w:rPr>
      </w:pPr>
    </w:p>
    <w:p w:rsidR="00FE20CA" w:rsidRDefault="00CD3D69">
      <w:pPr>
        <w:ind w:firstLine="283"/>
        <w:jc w:val="both"/>
        <w:rPr>
          <w:color w:val="000000"/>
        </w:rPr>
      </w:pPr>
      <w:r>
        <w:rPr>
          <w:color w:val="000000"/>
        </w:rPr>
        <w:t xml:space="preserve">La historia es narrada en primera persona y muestra los marcados contrastes sociales que imperan en nuestra ciudad. Filmada íntegramente en San Carlos de Bariloche, la producción contará con un 100% de equipos técnicos </w:t>
      </w:r>
      <w:r w:rsidR="0005028E">
        <w:rPr>
          <w:color w:val="000000"/>
        </w:rPr>
        <w:t>y un elenco completamente local</w:t>
      </w:r>
      <w:r>
        <w:rPr>
          <w:color w:val="000000"/>
        </w:rPr>
        <w:t>.</w:t>
      </w:r>
    </w:p>
    <w:p w:rsidR="00FE20CA" w:rsidRDefault="00FE20CA">
      <w:pPr>
        <w:ind w:firstLine="283"/>
        <w:jc w:val="both"/>
        <w:rPr>
          <w:color w:val="000000"/>
        </w:rPr>
      </w:pPr>
    </w:p>
    <w:p w:rsidR="00FE20CA" w:rsidRDefault="00CD3D69">
      <w:pPr>
        <w:ind w:firstLine="283"/>
        <w:jc w:val="both"/>
        <w:rPr>
          <w:color w:val="000000"/>
        </w:rPr>
      </w:pPr>
      <w:r>
        <w:rPr>
          <w:color w:val="000000"/>
        </w:rPr>
        <w:t>S</w:t>
      </w:r>
      <w:r>
        <w:rPr>
          <w:color w:val="000000"/>
        </w:rPr>
        <w:t xml:space="preserve">u directora artística y creativa, Mariana Chiesa, asegura que Cimarrón es una película que intenta construir identidades locales; darle lugar en la realización a los paisajes que nos rodean en lo cotidiano; avanzar en la construcción de un cine social que </w:t>
      </w:r>
      <w:r>
        <w:rPr>
          <w:color w:val="000000"/>
        </w:rPr>
        <w:t>no juzga a sus personajes sino que, en todo caso, nos interpela como espectadores sobre los matices de la realidad que nos toca vivir poniendo en pantalla a cuerpos concretos atravesados por la realidad que les toca vivir.</w:t>
      </w:r>
    </w:p>
    <w:p w:rsidR="00FE20CA" w:rsidRDefault="00FE20CA">
      <w:pPr>
        <w:ind w:firstLine="283"/>
        <w:jc w:val="both"/>
        <w:rPr>
          <w:color w:val="000000"/>
        </w:rPr>
      </w:pPr>
    </w:p>
    <w:p w:rsidR="00FE20CA" w:rsidRDefault="00CD3D69">
      <w:pPr>
        <w:ind w:firstLine="283"/>
        <w:jc w:val="both"/>
        <w:rPr>
          <w:color w:val="000000"/>
        </w:rPr>
      </w:pPr>
      <w:r>
        <w:rPr>
          <w:color w:val="000000"/>
        </w:rPr>
        <w:t>Oriunda de San Carlos de Bariloc</w:t>
      </w:r>
      <w:r w:rsidR="0005028E">
        <w:rPr>
          <w:color w:val="000000"/>
        </w:rPr>
        <w:t>he, Mariana Chiesa</w:t>
      </w:r>
      <w:r>
        <w:rPr>
          <w:color w:val="000000"/>
        </w:rPr>
        <w:t xml:space="preserve"> hizo el profesorado de artes visuales con orientación cinematográfica en el Instituto de las Artes de General Roca. Durante 2016 fue productora del largometraje </w:t>
      </w:r>
      <w:r w:rsidR="0005028E">
        <w:rPr>
          <w:color w:val="000000"/>
        </w:rPr>
        <w:t>La Fiera</w:t>
      </w:r>
      <w:r>
        <w:rPr>
          <w:color w:val="000000"/>
        </w:rPr>
        <w:t xml:space="preserve">, del director Juan Flores. Dirigió una serie de micros </w:t>
      </w:r>
      <w:r>
        <w:rPr>
          <w:color w:val="000000"/>
        </w:rPr>
        <w:t xml:space="preserve">infantiles que muestra la relación de los niños con el arte, y en 2019 se desempeñó como </w:t>
      </w:r>
      <w:proofErr w:type="spellStart"/>
      <w:r>
        <w:rPr>
          <w:color w:val="000000"/>
        </w:rPr>
        <w:t>tallerista</w:t>
      </w:r>
      <w:proofErr w:type="spellEnd"/>
      <w:r>
        <w:rPr>
          <w:color w:val="000000"/>
        </w:rPr>
        <w:t xml:space="preserve"> de cine comunitario en la sala </w:t>
      </w:r>
      <w:proofErr w:type="spellStart"/>
      <w:r>
        <w:rPr>
          <w:color w:val="000000"/>
        </w:rPr>
        <w:t>Dengun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Piuke</w:t>
      </w:r>
      <w:proofErr w:type="spellEnd"/>
      <w:r>
        <w:rPr>
          <w:color w:val="000000"/>
        </w:rPr>
        <w:t>, dependiente de la Secretaría de Desarrollo Social</w:t>
      </w:r>
      <w:r w:rsidR="0005028E">
        <w:rPr>
          <w:color w:val="000000"/>
        </w:rPr>
        <w:t xml:space="preserve"> de</w:t>
      </w:r>
      <w:r>
        <w:rPr>
          <w:color w:val="000000"/>
        </w:rPr>
        <w:t xml:space="preserve"> la Municipalidad y de Cultura de la Provincia. Es, además, do</w:t>
      </w:r>
      <w:r>
        <w:rPr>
          <w:color w:val="000000"/>
        </w:rPr>
        <w:t xml:space="preserve">cente secundaria y </w:t>
      </w:r>
      <w:proofErr w:type="spellStart"/>
      <w:r>
        <w:rPr>
          <w:color w:val="000000"/>
        </w:rPr>
        <w:t>Commnity</w:t>
      </w:r>
      <w:proofErr w:type="spellEnd"/>
      <w:r>
        <w:rPr>
          <w:color w:val="000000"/>
        </w:rPr>
        <w:t xml:space="preserve"> Manager.</w:t>
      </w:r>
    </w:p>
    <w:p w:rsidR="00FE20CA" w:rsidRDefault="00FE20CA">
      <w:pPr>
        <w:ind w:firstLine="283"/>
        <w:jc w:val="both"/>
        <w:rPr>
          <w:color w:val="000000"/>
        </w:rPr>
      </w:pPr>
    </w:p>
    <w:p w:rsidR="00FE20CA" w:rsidRDefault="00CD3D69">
      <w:pPr>
        <w:ind w:firstLine="283"/>
        <w:jc w:val="both"/>
        <w:rPr>
          <w:color w:val="000000"/>
        </w:rPr>
      </w:pPr>
      <w:r>
        <w:rPr>
          <w:color w:val="000000"/>
        </w:rPr>
        <w:t>Por todo lo expuesto consideramos propici</w:t>
      </w:r>
      <w:r w:rsidR="0005028E">
        <w:rPr>
          <w:color w:val="000000"/>
        </w:rPr>
        <w:t>o declarar de interés municipal</w:t>
      </w:r>
      <w:r>
        <w:rPr>
          <w:color w:val="000000"/>
        </w:rPr>
        <w:t xml:space="preserve"> y cultural el proyecto Cim</w:t>
      </w:r>
      <w:r w:rsidR="0005028E">
        <w:rPr>
          <w:color w:val="000000"/>
        </w:rPr>
        <w:t>arrón el cual será presentado</w:t>
      </w:r>
      <w:r>
        <w:rPr>
          <w:color w:val="000000"/>
        </w:rPr>
        <w:t xml:space="preserve"> el 12° Concurso Federal de Desarroll</w:t>
      </w:r>
      <w:r w:rsidR="0005028E">
        <w:rPr>
          <w:color w:val="000000"/>
        </w:rPr>
        <w:t xml:space="preserve">o de Proyectos de Largometraje, </w:t>
      </w:r>
      <w:r>
        <w:rPr>
          <w:color w:val="000000"/>
        </w:rPr>
        <w:t xml:space="preserve">Raymundo </w:t>
      </w:r>
      <w:proofErr w:type="spellStart"/>
      <w:r>
        <w:rPr>
          <w:color w:val="000000"/>
        </w:rPr>
        <w:t>Gleyzer</w:t>
      </w:r>
      <w:proofErr w:type="spellEnd"/>
      <w:r>
        <w:rPr>
          <w:color w:val="000000"/>
        </w:rPr>
        <w:t xml:space="preserve">, rescatando y valorando el trabajo que se realiza  y que sigue posicionando a nuestra ciudad como núcleo de producción de contenidos audiovisuales, con el consecuente impulso al trabajo local, desarrollo económico, promoción de la cultura y el desarrollo </w:t>
      </w:r>
      <w:r>
        <w:rPr>
          <w:color w:val="000000"/>
        </w:rPr>
        <w:t>integral de nuestra comunidad.</w:t>
      </w:r>
    </w:p>
    <w:p w:rsidR="00FE20CA" w:rsidRDefault="00FE20CA">
      <w:pPr>
        <w:ind w:left="3069" w:hanging="3085"/>
        <w:jc w:val="both"/>
        <w:rPr>
          <w:color w:val="000000"/>
        </w:rPr>
      </w:pPr>
    </w:p>
    <w:p w:rsidR="00FE20CA" w:rsidRDefault="00CD3D69">
      <w:pPr>
        <w:ind w:left="1247" w:hanging="1247"/>
        <w:jc w:val="both"/>
        <w:rPr>
          <w:color w:val="000000"/>
        </w:rPr>
      </w:pPr>
      <w:r>
        <w:rPr>
          <w:color w:val="000000"/>
        </w:rPr>
        <w:t xml:space="preserve">AUTORES: Concejales Natalia </w:t>
      </w:r>
      <w:proofErr w:type="spellStart"/>
      <w:r>
        <w:rPr>
          <w:color w:val="000000"/>
        </w:rPr>
        <w:t>Almonacid</w:t>
      </w:r>
      <w:proofErr w:type="spellEnd"/>
      <w:r>
        <w:rPr>
          <w:color w:val="000000"/>
        </w:rPr>
        <w:t>, Carlos Sánchez y Puente, Claudia Torres, Gerardo Ávila y Norma Taboada (JSRN).</w:t>
      </w:r>
    </w:p>
    <w:p w:rsidR="00FE20CA" w:rsidRDefault="00CD3D69">
      <w:pPr>
        <w:ind w:left="3069" w:hanging="3085"/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FE20CA" w:rsidRDefault="00FE20CA">
      <w:pPr>
        <w:ind w:left="3069" w:hanging="3085"/>
        <w:jc w:val="both"/>
        <w:rPr>
          <w:color w:val="000000"/>
        </w:rPr>
      </w:pPr>
    </w:p>
    <w:p w:rsidR="00FE20CA" w:rsidRDefault="00CD3D69">
      <w:pPr>
        <w:ind w:left="3069" w:hanging="3085"/>
        <w:jc w:val="both"/>
        <w:rPr>
          <w:color w:val="000000"/>
        </w:rPr>
      </w:pPr>
      <w:r>
        <w:rPr>
          <w:color w:val="000000"/>
        </w:rPr>
        <w:t>INICIATIVA: Comisión Fílmica.</w:t>
      </w:r>
    </w:p>
    <w:p w:rsidR="00FE20CA" w:rsidRDefault="00FE20CA">
      <w:pPr>
        <w:jc w:val="both"/>
        <w:rPr>
          <w:color w:val="000000"/>
        </w:rPr>
      </w:pPr>
    </w:p>
    <w:p w:rsidR="00FE20CA" w:rsidRDefault="00CD3D69">
      <w:pPr>
        <w:jc w:val="center"/>
        <w:rPr>
          <w:color w:val="000000"/>
        </w:rPr>
      </w:pPr>
      <w:r>
        <w:rPr>
          <w:color w:val="000000"/>
        </w:rPr>
        <w:t>El proyecto original N</w:t>
      </w:r>
      <w:proofErr w:type="gramStart"/>
      <w:r>
        <w:rPr>
          <w:color w:val="000000"/>
        </w:rPr>
        <w:t>.º</w:t>
      </w:r>
      <w:proofErr w:type="gramEnd"/>
      <w:r>
        <w:rPr>
          <w:color w:val="000000"/>
        </w:rPr>
        <w:t xml:space="preserve"> 105/20 fue aprobado en la sesión del día 23 de </w:t>
      </w:r>
      <w:r>
        <w:rPr>
          <w:color w:val="000000"/>
        </w:rPr>
        <w:t>julio de 2020, según consta en el Acta N.º 1129/20. Por ello, en ejercicio de las atribuciones que le otorga el Art. 38 de la Carta Orgánica Municipal,</w:t>
      </w:r>
    </w:p>
    <w:p w:rsidR="00FE20CA" w:rsidRDefault="00FE20CA">
      <w:pPr>
        <w:jc w:val="center"/>
        <w:rPr>
          <w:color w:val="000000"/>
        </w:rPr>
      </w:pPr>
    </w:p>
    <w:p w:rsidR="00FE20CA" w:rsidRDefault="00CD3D69">
      <w:pPr>
        <w:jc w:val="center"/>
        <w:rPr>
          <w:color w:val="000000"/>
        </w:rPr>
      </w:pPr>
      <w:r>
        <w:rPr>
          <w:color w:val="000000"/>
        </w:rPr>
        <w:t>EL CONCEJO MUNICIPAL DE SAN CARLOS DE BARILOCHE</w:t>
      </w:r>
    </w:p>
    <w:p w:rsidR="00FE20CA" w:rsidRDefault="00CD3D69">
      <w:pPr>
        <w:jc w:val="center"/>
        <w:rPr>
          <w:color w:val="000000"/>
        </w:rPr>
      </w:pPr>
      <w:r>
        <w:rPr>
          <w:color w:val="000000"/>
        </w:rPr>
        <w:t xml:space="preserve">SANCIONA CON CARÁCTER DE </w:t>
      </w:r>
    </w:p>
    <w:p w:rsidR="00FE20CA" w:rsidRDefault="00FE20CA">
      <w:pPr>
        <w:jc w:val="center"/>
        <w:rPr>
          <w:color w:val="000000"/>
        </w:rPr>
      </w:pPr>
    </w:p>
    <w:p w:rsidR="00FE20CA" w:rsidRDefault="00CD3D69">
      <w:pPr>
        <w:ind w:right="-288"/>
        <w:jc w:val="center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DECLARACIÓN</w:t>
      </w:r>
    </w:p>
    <w:p w:rsidR="00FE20CA" w:rsidRDefault="00FE20CA">
      <w:pPr>
        <w:jc w:val="both"/>
        <w:rPr>
          <w:color w:val="000000"/>
        </w:rPr>
      </w:pPr>
    </w:p>
    <w:p w:rsidR="00FE20CA" w:rsidRDefault="00FE20CA">
      <w:pPr>
        <w:jc w:val="both"/>
        <w:rPr>
          <w:color w:val="000000"/>
        </w:rPr>
      </w:pPr>
    </w:p>
    <w:tbl>
      <w:tblPr>
        <w:tblStyle w:val="a"/>
        <w:tblW w:w="850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43"/>
        <w:gridCol w:w="7461"/>
      </w:tblGrid>
      <w:tr w:rsidR="00FE20CA">
        <w:tc>
          <w:tcPr>
            <w:tcW w:w="1043" w:type="dxa"/>
            <w:shd w:val="clear" w:color="auto" w:fill="auto"/>
          </w:tcPr>
          <w:p w:rsidR="00FE20CA" w:rsidRDefault="00CD3D6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Art. 1°) </w:t>
            </w:r>
          </w:p>
        </w:tc>
        <w:tc>
          <w:tcPr>
            <w:tcW w:w="7461" w:type="dxa"/>
            <w:shd w:val="clear" w:color="auto" w:fill="auto"/>
          </w:tcPr>
          <w:p w:rsidR="00FE20CA" w:rsidRDefault="0005028E">
            <w:pPr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Se declara de interés municipal</w:t>
            </w:r>
            <w:r w:rsidR="00CD3D69">
              <w:rPr>
                <w:color w:val="000000"/>
                <w:highlight w:val="white"/>
              </w:rPr>
              <w:t xml:space="preserve"> y cultural el proyecto largometraje d</w:t>
            </w:r>
            <w:r>
              <w:rPr>
                <w:color w:val="000000"/>
                <w:highlight w:val="white"/>
              </w:rPr>
              <w:t xml:space="preserve">e ficción Cimarrón, a cargo de la </w:t>
            </w:r>
            <w:bookmarkStart w:id="0" w:name="_GoBack"/>
            <w:bookmarkEnd w:id="0"/>
            <w:r>
              <w:rPr>
                <w:color w:val="000000"/>
                <w:highlight w:val="white"/>
              </w:rPr>
              <w:t>p</w:t>
            </w:r>
            <w:r w:rsidR="00CD3D69">
              <w:rPr>
                <w:color w:val="000000"/>
                <w:highlight w:val="white"/>
              </w:rPr>
              <w:t xml:space="preserve">roductora </w:t>
            </w:r>
            <w:proofErr w:type="spellStart"/>
            <w:r w:rsidR="00CD3D69">
              <w:rPr>
                <w:color w:val="000000"/>
                <w:highlight w:val="white"/>
              </w:rPr>
              <w:t>Ailen</w:t>
            </w:r>
            <w:proofErr w:type="spellEnd"/>
            <w:r w:rsidR="00CD3D69">
              <w:rPr>
                <w:color w:val="000000"/>
                <w:highlight w:val="white"/>
              </w:rPr>
              <w:t xml:space="preserve"> </w:t>
            </w:r>
            <w:proofErr w:type="spellStart"/>
            <w:r w:rsidR="00CD3D69">
              <w:rPr>
                <w:color w:val="000000"/>
                <w:highlight w:val="white"/>
              </w:rPr>
              <w:t>Herradon</w:t>
            </w:r>
            <w:proofErr w:type="spellEnd"/>
            <w:r w:rsidR="00CD3D69">
              <w:rPr>
                <w:color w:val="000000"/>
                <w:highlight w:val="white"/>
              </w:rPr>
              <w:t xml:space="preserve"> bajo la dirección de Mariana Chiesa. </w:t>
            </w:r>
          </w:p>
          <w:p w:rsidR="00FE20CA" w:rsidRDefault="00FE20CA">
            <w:pPr>
              <w:jc w:val="both"/>
              <w:rPr>
                <w:color w:val="000000"/>
                <w:highlight w:val="white"/>
              </w:rPr>
            </w:pPr>
          </w:p>
        </w:tc>
      </w:tr>
      <w:tr w:rsidR="00FE20CA">
        <w:tc>
          <w:tcPr>
            <w:tcW w:w="1043" w:type="dxa"/>
            <w:shd w:val="clear" w:color="auto" w:fill="auto"/>
          </w:tcPr>
          <w:p w:rsidR="00FE20CA" w:rsidRDefault="00CD3D6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Art. 2°)</w:t>
            </w:r>
          </w:p>
        </w:tc>
        <w:tc>
          <w:tcPr>
            <w:tcW w:w="7461" w:type="dxa"/>
            <w:shd w:val="clear" w:color="auto" w:fill="auto"/>
          </w:tcPr>
          <w:p w:rsidR="00FE20CA" w:rsidRDefault="00CD3D6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La presente declaración no implica la obligatoriedad de efectuar erogaciones por parte de la Administración Municipal.</w:t>
            </w:r>
          </w:p>
          <w:p w:rsidR="00FE20CA" w:rsidRDefault="00FE20CA">
            <w:pPr>
              <w:jc w:val="both"/>
              <w:rPr>
                <w:color w:val="000000"/>
              </w:rPr>
            </w:pPr>
          </w:p>
        </w:tc>
      </w:tr>
      <w:tr w:rsidR="00FE20CA">
        <w:tc>
          <w:tcPr>
            <w:tcW w:w="1043" w:type="dxa"/>
            <w:shd w:val="clear" w:color="auto" w:fill="auto"/>
          </w:tcPr>
          <w:p w:rsidR="00FE20CA" w:rsidRDefault="00CD3D6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Art. 3°) </w:t>
            </w:r>
          </w:p>
        </w:tc>
        <w:tc>
          <w:tcPr>
            <w:tcW w:w="7461" w:type="dxa"/>
            <w:shd w:val="clear" w:color="auto" w:fill="auto"/>
          </w:tcPr>
          <w:p w:rsidR="00FE20CA" w:rsidRDefault="00CD3D6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Comuníquese. </w:t>
            </w:r>
            <w:proofErr w:type="spellStart"/>
            <w:r>
              <w:rPr>
                <w:color w:val="000000"/>
              </w:rPr>
              <w:t>Dése</w:t>
            </w:r>
            <w:proofErr w:type="spellEnd"/>
            <w:r>
              <w:rPr>
                <w:color w:val="000000"/>
              </w:rPr>
              <w:t xml:space="preserve"> a publicidad. Cumplido, archívese.</w:t>
            </w:r>
          </w:p>
          <w:p w:rsidR="00FE20CA" w:rsidRDefault="00FE20CA">
            <w:pPr>
              <w:jc w:val="both"/>
              <w:rPr>
                <w:color w:val="000000"/>
              </w:rPr>
            </w:pPr>
          </w:p>
        </w:tc>
      </w:tr>
    </w:tbl>
    <w:p w:rsidR="00FE20CA" w:rsidRDefault="00FE20CA">
      <w:pPr>
        <w:jc w:val="both"/>
        <w:rPr>
          <w:color w:val="000000"/>
        </w:rPr>
      </w:pPr>
    </w:p>
    <w:sectPr w:rsidR="00FE20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701" w:bottom="282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D69" w:rsidRDefault="00CD3D69">
      <w:r>
        <w:separator/>
      </w:r>
    </w:p>
  </w:endnote>
  <w:endnote w:type="continuationSeparator" w:id="0">
    <w:p w:rsidR="00CD3D69" w:rsidRDefault="00CD3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0CA" w:rsidRDefault="00CD3D69">
    <w:pPr>
      <w:jc w:val="center"/>
      <w:rPr>
        <w:i/>
      </w:rPr>
    </w:pPr>
    <w:r>
      <w:rPr>
        <w:i/>
      </w:rPr>
      <w:t>“2020 - Año del General Manuel Belgrano”</w:t>
    </w:r>
  </w:p>
  <w:p w:rsidR="00FE20CA" w:rsidRDefault="00CD3D69">
    <w:pPr>
      <w:jc w:val="center"/>
      <w:rPr>
        <w:i/>
      </w:rPr>
    </w:pPr>
    <w:r>
      <w:rPr>
        <w:i/>
      </w:rPr>
      <w:t>(Ordenanza 3145-CM-20)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0CA" w:rsidRDefault="00CD3D69">
    <w:pPr>
      <w:jc w:val="center"/>
      <w:rPr>
        <w:i/>
      </w:rPr>
    </w:pPr>
    <w:r>
      <w:rPr>
        <w:i/>
      </w:rPr>
      <w:t>“2020 - Año del General Manuel Belgrano”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0CA" w:rsidRDefault="00CD3D69">
    <w:pPr>
      <w:jc w:val="center"/>
      <w:rPr>
        <w:i/>
      </w:rPr>
    </w:pPr>
    <w:r>
      <w:rPr>
        <w:i/>
      </w:rPr>
      <w:t>“2020 - Año del General Manuel Belgrano”</w:t>
    </w:r>
  </w:p>
  <w:p w:rsidR="00FE20CA" w:rsidRDefault="00CD3D69">
    <w:pPr>
      <w:jc w:val="center"/>
      <w:rPr>
        <w:i/>
      </w:rPr>
    </w:pPr>
    <w:r>
      <w:rPr>
        <w:i/>
      </w:rPr>
      <w:t>(Ordenanza 3145-CM-20)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D69" w:rsidRDefault="00CD3D69">
      <w:r>
        <w:separator/>
      </w:r>
    </w:p>
  </w:footnote>
  <w:footnote w:type="continuationSeparator" w:id="0">
    <w:p w:rsidR="00CD3D69" w:rsidRDefault="00CD3D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0CA" w:rsidRDefault="00FE20C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1"/>
      <w:tblW w:w="8544" w:type="dxa"/>
      <w:tblInd w:w="0" w:type="dxa"/>
      <w:tblBorders>
        <w:top w:val="single" w:sz="4" w:space="0" w:color="C0C0C0"/>
        <w:left w:val="single" w:sz="4" w:space="0" w:color="C0C0C0"/>
        <w:bottom w:val="single" w:sz="4" w:space="0" w:color="C0C0C0"/>
        <w:insideH w:val="single" w:sz="4" w:space="0" w:color="C0C0C0"/>
      </w:tblBorders>
      <w:tblLayout w:type="fixed"/>
      <w:tblLook w:val="0000" w:firstRow="0" w:lastRow="0" w:firstColumn="0" w:lastColumn="0" w:noHBand="0" w:noVBand="0"/>
    </w:tblPr>
    <w:tblGrid>
      <w:gridCol w:w="2426"/>
      <w:gridCol w:w="2875"/>
      <w:gridCol w:w="3243"/>
    </w:tblGrid>
    <w:tr w:rsidR="00FE20CA">
      <w:trPr>
        <w:trHeight w:val="1868"/>
      </w:trPr>
      <w:tc>
        <w:tcPr>
          <w:tcW w:w="2426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shd w:val="clear" w:color="auto" w:fill="auto"/>
          <w:vAlign w:val="center"/>
        </w:tcPr>
        <w:p w:rsidR="00FE20CA" w:rsidRDefault="00CD3D69">
          <w:pPr>
            <w:ind w:right="-288"/>
            <w:jc w:val="center"/>
            <w:rPr>
              <w:rFonts w:ascii="Times" w:eastAsia="Times" w:hAnsi="Times" w:cs="Times"/>
            </w:rPr>
          </w:pPr>
          <w:r>
            <w:rPr>
              <w:rFonts w:ascii="Times" w:eastAsia="Times" w:hAnsi="Times" w:cs="Times"/>
            </w:rPr>
            <w:t>DCLE</w:t>
          </w:r>
        </w:p>
      </w:tc>
      <w:tc>
        <w:tcPr>
          <w:tcW w:w="2875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shd w:val="clear" w:color="auto" w:fill="auto"/>
          <w:vAlign w:val="center"/>
        </w:tcPr>
        <w:p w:rsidR="00FE20CA" w:rsidRDefault="00CD3D69">
          <w:pPr>
            <w:ind w:right="-288"/>
            <w:jc w:val="center"/>
          </w:pPr>
          <w:r>
            <w:rPr>
              <w:rFonts w:ascii="Times" w:eastAsia="Times" w:hAnsi="Times" w:cs="Times"/>
              <w:color w:val="000000"/>
            </w:rPr>
            <w:t>DECLARACIÓN</w:t>
          </w:r>
          <w:r>
            <w:rPr>
              <w:rFonts w:ascii="Times" w:eastAsia="Times" w:hAnsi="Times" w:cs="Times"/>
            </w:rPr>
            <w:t xml:space="preserve"> </w:t>
          </w:r>
        </w:p>
      </w:tc>
      <w:tc>
        <w:tcPr>
          <w:tcW w:w="3243" w:type="dxa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auto"/>
          <w:vAlign w:val="center"/>
        </w:tcPr>
        <w:p w:rsidR="00FE20CA" w:rsidRDefault="00FE20CA">
          <w:pPr>
            <w:ind w:right="-288"/>
            <w:rPr>
              <w:rFonts w:ascii="Times" w:eastAsia="Times" w:hAnsi="Times" w:cs="Times"/>
            </w:rPr>
          </w:pPr>
        </w:p>
        <w:p w:rsidR="00FE20CA" w:rsidRDefault="00CD3D69">
          <w:pPr>
            <w:ind w:right="-288"/>
            <w:rPr>
              <w:rFonts w:ascii="Times" w:eastAsia="Times" w:hAnsi="Times" w:cs="Times"/>
            </w:rPr>
          </w:pPr>
          <w:r>
            <w:rPr>
              <w:noProof/>
              <w:lang w:val="es-AR"/>
            </w:rPr>
            <w:drawing>
              <wp:anchor distT="0" distB="0" distL="114935" distR="114935" simplePos="0" relativeHeight="251660288" behindDoc="0" locked="0" layoutInCell="1" hidden="0" allowOverlap="1">
                <wp:simplePos x="0" y="0"/>
                <wp:positionH relativeFrom="column">
                  <wp:posOffset>1928495</wp:posOffset>
                </wp:positionH>
                <wp:positionV relativeFrom="paragraph">
                  <wp:posOffset>-52704</wp:posOffset>
                </wp:positionV>
                <wp:extent cx="1543050" cy="452755"/>
                <wp:effectExtent l="0" t="0" r="0" b="0"/>
                <wp:wrapSquare wrapText="bothSides" distT="0" distB="0" distL="114935" distR="114935"/>
                <wp:docPr id="2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l="-152" t="-418" r="-152" b="-4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050" cy="45275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:rsidR="00FE20CA" w:rsidRDefault="00FE20CA">
          <w:pPr>
            <w:ind w:right="-288"/>
            <w:rPr>
              <w:rFonts w:ascii="Times" w:eastAsia="Times" w:hAnsi="Times" w:cs="Times"/>
            </w:rPr>
          </w:pPr>
        </w:p>
        <w:p w:rsidR="00FE20CA" w:rsidRDefault="00FE20CA">
          <w:pPr>
            <w:ind w:right="-288"/>
            <w:rPr>
              <w:rFonts w:ascii="Times" w:eastAsia="Times" w:hAnsi="Times" w:cs="Times"/>
            </w:rPr>
          </w:pPr>
        </w:p>
        <w:p w:rsidR="00FE20CA" w:rsidRDefault="00FE20CA">
          <w:pPr>
            <w:ind w:right="-288"/>
            <w:jc w:val="center"/>
            <w:rPr>
              <w:rFonts w:ascii="Times" w:eastAsia="Times" w:hAnsi="Times" w:cs="Times"/>
              <w:sz w:val="16"/>
              <w:szCs w:val="16"/>
            </w:rPr>
          </w:pPr>
        </w:p>
        <w:p w:rsidR="00FE20CA" w:rsidRDefault="00CD3D69">
          <w:pPr>
            <w:ind w:right="-132"/>
            <w:jc w:val="center"/>
          </w:pPr>
          <w:r>
            <w:rPr>
              <w:rFonts w:ascii="Times" w:eastAsia="Times" w:hAnsi="Times" w:cs="Times"/>
              <w:sz w:val="16"/>
              <w:szCs w:val="16"/>
            </w:rPr>
            <w:t>No a la violencia de género. Ni una menos. (Ordenanza 3029-CM-18)</w:t>
          </w:r>
        </w:p>
      </w:tc>
    </w:tr>
  </w:tbl>
  <w:p w:rsidR="00FE20CA" w:rsidRDefault="00FE20CA">
    <w:pPr>
      <w:ind w:right="-28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0CA" w:rsidRDefault="00FE20CA">
    <w:pPr>
      <w:ind w:right="-288"/>
      <w:jc w:val="center"/>
    </w:pPr>
  </w:p>
  <w:tbl>
    <w:tblPr>
      <w:tblStyle w:val="a0"/>
      <w:tblW w:w="8584" w:type="dxa"/>
      <w:tblInd w:w="0" w:type="dxa"/>
      <w:tblBorders>
        <w:top w:val="single" w:sz="4" w:space="0" w:color="C0C0C0"/>
        <w:left w:val="single" w:sz="4" w:space="0" w:color="C0C0C0"/>
        <w:bottom w:val="single" w:sz="4" w:space="0" w:color="C0C0C0"/>
        <w:insideH w:val="single" w:sz="4" w:space="0" w:color="C0C0C0"/>
      </w:tblBorders>
      <w:tblLayout w:type="fixed"/>
      <w:tblLook w:val="0000" w:firstRow="0" w:lastRow="0" w:firstColumn="0" w:lastColumn="0" w:noHBand="0" w:noVBand="0"/>
    </w:tblPr>
    <w:tblGrid>
      <w:gridCol w:w="2437"/>
      <w:gridCol w:w="2888"/>
      <w:gridCol w:w="3259"/>
    </w:tblGrid>
    <w:tr w:rsidR="00FE20CA">
      <w:trPr>
        <w:trHeight w:val="1868"/>
      </w:trPr>
      <w:tc>
        <w:tcPr>
          <w:tcW w:w="2437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shd w:val="clear" w:color="auto" w:fill="auto"/>
          <w:vAlign w:val="center"/>
        </w:tcPr>
        <w:p w:rsidR="00FE20CA" w:rsidRDefault="00CD3D69">
          <w:pPr>
            <w:ind w:right="-288"/>
            <w:jc w:val="center"/>
            <w:rPr>
              <w:rFonts w:ascii="Times" w:eastAsia="Times" w:hAnsi="Times" w:cs="Times"/>
            </w:rPr>
          </w:pPr>
          <w:r>
            <w:rPr>
              <w:rFonts w:ascii="Times" w:eastAsia="Times" w:hAnsi="Times" w:cs="Times"/>
            </w:rPr>
            <w:t>DCLE</w:t>
          </w:r>
        </w:p>
      </w:tc>
      <w:tc>
        <w:tcPr>
          <w:tcW w:w="2888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shd w:val="clear" w:color="auto" w:fill="auto"/>
          <w:vAlign w:val="center"/>
        </w:tcPr>
        <w:p w:rsidR="00FE20CA" w:rsidRDefault="00CD3D69">
          <w:pPr>
            <w:ind w:right="-288"/>
            <w:jc w:val="center"/>
            <w:rPr>
              <w:rFonts w:ascii="Times" w:eastAsia="Times" w:hAnsi="Times" w:cs="Times"/>
              <w:color w:val="000000"/>
            </w:rPr>
          </w:pPr>
          <w:r>
            <w:rPr>
              <w:rFonts w:ascii="Times" w:eastAsia="Times" w:hAnsi="Times" w:cs="Times"/>
              <w:color w:val="000000"/>
            </w:rPr>
            <w:t>DECLARACIÓN</w:t>
          </w:r>
        </w:p>
      </w:tc>
      <w:tc>
        <w:tcPr>
          <w:tcW w:w="3259" w:type="dxa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auto"/>
          <w:vAlign w:val="center"/>
        </w:tcPr>
        <w:p w:rsidR="00FE20CA" w:rsidRDefault="00FE20CA">
          <w:pPr>
            <w:ind w:right="-288"/>
            <w:rPr>
              <w:rFonts w:ascii="Times" w:eastAsia="Times" w:hAnsi="Times" w:cs="Times"/>
            </w:rPr>
          </w:pPr>
        </w:p>
        <w:p w:rsidR="00FE20CA" w:rsidRDefault="00CD3D69">
          <w:pPr>
            <w:ind w:right="-288"/>
            <w:rPr>
              <w:rFonts w:ascii="Times" w:eastAsia="Times" w:hAnsi="Times" w:cs="Times"/>
            </w:rPr>
          </w:pPr>
          <w:r>
            <w:rPr>
              <w:noProof/>
              <w:lang w:val="es-AR"/>
            </w:rPr>
            <w:drawing>
              <wp:anchor distT="0" distB="0" distL="114935" distR="114935" simplePos="0" relativeHeight="251658240" behindDoc="0" locked="0" layoutInCell="1" hidden="0" allowOverlap="1">
                <wp:simplePos x="0" y="0"/>
                <wp:positionH relativeFrom="column">
                  <wp:posOffset>1928495</wp:posOffset>
                </wp:positionH>
                <wp:positionV relativeFrom="paragraph">
                  <wp:posOffset>-52704</wp:posOffset>
                </wp:positionV>
                <wp:extent cx="1543050" cy="452755"/>
                <wp:effectExtent l="0" t="0" r="0" b="0"/>
                <wp:wrapSquare wrapText="bothSides" distT="0" distB="0" distL="114935" distR="114935"/>
                <wp:docPr id="3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l="-152" t="-418" r="-152" b="-4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050" cy="45275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:rsidR="00FE20CA" w:rsidRDefault="00FE20CA">
          <w:pPr>
            <w:ind w:right="-288"/>
            <w:rPr>
              <w:rFonts w:ascii="Times" w:eastAsia="Times" w:hAnsi="Times" w:cs="Times"/>
            </w:rPr>
          </w:pPr>
        </w:p>
        <w:p w:rsidR="00FE20CA" w:rsidRDefault="00FE20CA">
          <w:pPr>
            <w:ind w:right="-288"/>
            <w:rPr>
              <w:rFonts w:ascii="Times" w:eastAsia="Times" w:hAnsi="Times" w:cs="Times"/>
            </w:rPr>
          </w:pPr>
        </w:p>
        <w:p w:rsidR="00FE20CA" w:rsidRDefault="00FE20CA">
          <w:pPr>
            <w:ind w:right="-288"/>
            <w:jc w:val="center"/>
            <w:rPr>
              <w:rFonts w:ascii="Times" w:eastAsia="Times" w:hAnsi="Times" w:cs="Times"/>
              <w:sz w:val="16"/>
              <w:szCs w:val="16"/>
            </w:rPr>
          </w:pPr>
        </w:p>
        <w:p w:rsidR="00FE20CA" w:rsidRDefault="00CD3D69">
          <w:pPr>
            <w:ind w:right="-132"/>
            <w:jc w:val="center"/>
          </w:pPr>
          <w:r>
            <w:rPr>
              <w:rFonts w:ascii="Times" w:eastAsia="Times" w:hAnsi="Times" w:cs="Times"/>
              <w:sz w:val="16"/>
              <w:szCs w:val="16"/>
            </w:rPr>
            <w:t>No a la violencia de género. Ni una menos. (Ordenanza 3029-CM-18)</w:t>
          </w:r>
        </w:p>
      </w:tc>
    </w:tr>
  </w:tbl>
  <w:p w:rsidR="00FE20CA" w:rsidRDefault="00FE20C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0CA" w:rsidRDefault="00FE20C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8584" w:type="dxa"/>
      <w:tblInd w:w="0" w:type="dxa"/>
      <w:tblBorders>
        <w:top w:val="single" w:sz="4" w:space="0" w:color="C0C0C0"/>
        <w:left w:val="single" w:sz="4" w:space="0" w:color="C0C0C0"/>
        <w:bottom w:val="single" w:sz="4" w:space="0" w:color="C0C0C0"/>
        <w:insideH w:val="single" w:sz="4" w:space="0" w:color="C0C0C0"/>
      </w:tblBorders>
      <w:tblLayout w:type="fixed"/>
      <w:tblLook w:val="0000" w:firstRow="0" w:lastRow="0" w:firstColumn="0" w:lastColumn="0" w:noHBand="0" w:noVBand="0"/>
    </w:tblPr>
    <w:tblGrid>
      <w:gridCol w:w="2437"/>
      <w:gridCol w:w="2888"/>
      <w:gridCol w:w="3259"/>
    </w:tblGrid>
    <w:tr w:rsidR="00FE20CA">
      <w:trPr>
        <w:trHeight w:val="1868"/>
      </w:trPr>
      <w:tc>
        <w:tcPr>
          <w:tcW w:w="2437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shd w:val="clear" w:color="auto" w:fill="auto"/>
          <w:vAlign w:val="center"/>
        </w:tcPr>
        <w:p w:rsidR="00FE20CA" w:rsidRDefault="00CD3D69">
          <w:pPr>
            <w:ind w:right="-288"/>
            <w:jc w:val="center"/>
            <w:rPr>
              <w:rFonts w:ascii="Times" w:eastAsia="Times" w:hAnsi="Times" w:cs="Times"/>
            </w:rPr>
          </w:pPr>
          <w:r>
            <w:rPr>
              <w:rFonts w:ascii="Times" w:eastAsia="Times" w:hAnsi="Times" w:cs="Times"/>
            </w:rPr>
            <w:t>DCLE</w:t>
          </w:r>
        </w:p>
      </w:tc>
      <w:tc>
        <w:tcPr>
          <w:tcW w:w="2888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shd w:val="clear" w:color="auto" w:fill="auto"/>
          <w:vAlign w:val="center"/>
        </w:tcPr>
        <w:p w:rsidR="00FE20CA" w:rsidRDefault="00CD3D69">
          <w:pPr>
            <w:ind w:right="-288"/>
            <w:jc w:val="center"/>
            <w:rPr>
              <w:rFonts w:ascii="Times" w:eastAsia="Times" w:hAnsi="Times" w:cs="Times"/>
              <w:color w:val="000000"/>
            </w:rPr>
          </w:pPr>
          <w:r>
            <w:rPr>
              <w:rFonts w:ascii="Times" w:eastAsia="Times" w:hAnsi="Times" w:cs="Times"/>
              <w:color w:val="000000"/>
            </w:rPr>
            <w:t>DECLARACIÓN</w:t>
          </w:r>
        </w:p>
      </w:tc>
      <w:tc>
        <w:tcPr>
          <w:tcW w:w="3259" w:type="dxa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auto"/>
          <w:vAlign w:val="center"/>
        </w:tcPr>
        <w:p w:rsidR="00FE20CA" w:rsidRDefault="00FE20CA">
          <w:pPr>
            <w:ind w:right="-288"/>
            <w:rPr>
              <w:rFonts w:ascii="Times" w:eastAsia="Times" w:hAnsi="Times" w:cs="Times"/>
            </w:rPr>
          </w:pPr>
        </w:p>
        <w:p w:rsidR="00FE20CA" w:rsidRDefault="00CD3D69">
          <w:pPr>
            <w:ind w:right="-288"/>
            <w:rPr>
              <w:rFonts w:ascii="Times" w:eastAsia="Times" w:hAnsi="Times" w:cs="Times"/>
            </w:rPr>
          </w:pPr>
          <w:r>
            <w:rPr>
              <w:noProof/>
              <w:lang w:val="es-AR"/>
            </w:rPr>
            <w:drawing>
              <wp:anchor distT="0" distB="0" distL="114935" distR="114935" simplePos="0" relativeHeight="251659264" behindDoc="0" locked="0" layoutInCell="1" hidden="0" allowOverlap="1">
                <wp:simplePos x="0" y="0"/>
                <wp:positionH relativeFrom="column">
                  <wp:posOffset>1928495</wp:posOffset>
                </wp:positionH>
                <wp:positionV relativeFrom="paragraph">
                  <wp:posOffset>-52704</wp:posOffset>
                </wp:positionV>
                <wp:extent cx="1543050" cy="452755"/>
                <wp:effectExtent l="0" t="0" r="0" b="0"/>
                <wp:wrapSquare wrapText="bothSides" distT="0" distB="0" distL="114935" distR="114935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l="-152" t="-418" r="-152" b="-4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050" cy="45275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:rsidR="00FE20CA" w:rsidRDefault="00FE20CA">
          <w:pPr>
            <w:ind w:right="-288"/>
            <w:rPr>
              <w:rFonts w:ascii="Times" w:eastAsia="Times" w:hAnsi="Times" w:cs="Times"/>
            </w:rPr>
          </w:pPr>
        </w:p>
        <w:p w:rsidR="00FE20CA" w:rsidRDefault="00FE20CA">
          <w:pPr>
            <w:ind w:right="-288"/>
            <w:rPr>
              <w:rFonts w:ascii="Times" w:eastAsia="Times" w:hAnsi="Times" w:cs="Times"/>
            </w:rPr>
          </w:pPr>
        </w:p>
        <w:p w:rsidR="00FE20CA" w:rsidRDefault="00FE20CA">
          <w:pPr>
            <w:ind w:right="-288"/>
            <w:jc w:val="center"/>
            <w:rPr>
              <w:rFonts w:ascii="Times" w:eastAsia="Times" w:hAnsi="Times" w:cs="Times"/>
              <w:sz w:val="16"/>
              <w:szCs w:val="16"/>
            </w:rPr>
          </w:pPr>
        </w:p>
        <w:p w:rsidR="00FE20CA" w:rsidRDefault="00CD3D69">
          <w:pPr>
            <w:ind w:right="-132"/>
            <w:jc w:val="center"/>
          </w:pPr>
          <w:r>
            <w:rPr>
              <w:rFonts w:ascii="Times" w:eastAsia="Times" w:hAnsi="Times" w:cs="Times"/>
              <w:sz w:val="16"/>
              <w:szCs w:val="16"/>
            </w:rPr>
            <w:t>No a la violencia de género. Ni una menos. (Ordenanza 3029-CM-18)</w:t>
          </w:r>
        </w:p>
      </w:tc>
    </w:tr>
  </w:tbl>
  <w:p w:rsidR="00FE20CA" w:rsidRDefault="00FE20C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E20CA"/>
    <w:rsid w:val="0005028E"/>
    <w:rsid w:val="00B56227"/>
    <w:rsid w:val="00CD3D69"/>
    <w:rsid w:val="00FE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ind w:left="576" w:hanging="576"/>
      <w:jc w:val="both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ind w:left="576" w:hanging="576"/>
      <w:jc w:val="both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713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2020-07-30T14:12:00Z</dcterms:created>
  <dcterms:modified xsi:type="dcterms:W3CDTF">2020-07-30T14:18:00Z</dcterms:modified>
</cp:coreProperties>
</file>