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Lezing &amp; Toelichting</w:t>
      </w:r>
    </w:p>
    <w:p>
      <w:pPr>
        <w:pStyle w:val="Heading1"/>
        <w:spacing w:lineRule="auto"/>
      </w:pPr>
      <w:r>
        <w:rPr/>
        <w:t xml:space="preserve">Lezing Pinchas</w:t>
      </w:r>
    </w:p>
    <w:p>
      <w:pPr>
        <w:spacing w:lineRule="auto"/>
      </w:pPr>
      <w:r>
        <w:rPr>
          <w:b/>
        </w:rPr>
        <w:t xml:space="preserve">Tora:</w:t>
      </w:r>
      <w:r>
        <w:rPr/>
        <w:t xml:space="preserve"> Numeri 25:10–30:1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Haftara:</w:t>
      </w:r>
      <w:r>
        <w:rPr/>
        <w:t xml:space="preserve"> 1 Koningen 18:46–19:21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Evangelie:</w:t>
      </w:r>
      <w:r>
        <w:rPr/>
        <w:t xml:space="preserve"> Johannes 2:13–22</w:t>
      </w:r>
    </w:p>
    <w:p>
      <w:pPr>
        <w:spacing w:lineRule="auto"/>
      </w:pPr>
      <w:r>
        <w:rPr/>
        <w:t xml:space="preserve">Over de ijver van Pinechas, het verbond van vrede, de telling van het volk en de dochters van Tzelofchad.</w:t>
      </w:r>
    </w:p>
    <w:p>
      <w:pPr>
        <w:spacing w:lineRule="auto"/>
      </w:pPr>
      <w:r>
        <w:rPr/>
        <w:t xml:space="preserve">     De HEERE sprak tot Mozes: Pinechas, de zoon van Eleazar, de zoon van Aäron, de priester, heeft Mijn grimmigheid van de kinderen Israëls afgewend...   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