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Studieblad</w:t>
      </w:r>
    </w:p>
    <w:p>
      <w:pPr>
        <w:pStyle w:val="Heading1"/>
        <w:spacing w:lineRule="auto"/>
      </w:pPr>
      <w:r>
        <w:rPr/>
        <w:t xml:space="preserve">De eersteling en de eerlijke weegsteen</w:t>
      </w:r>
    </w:p>
    <w:p>
      <w:pPr>
        <w:spacing w:lineRule="auto"/>
      </w:pPr>
      <w:r>
        <w:rPr>
          <w:b/>
        </w:rPr>
        <w:t xml:space="preserve">Tora:</w:t>
      </w:r>
      <w:r>
        <w:rPr/>
        <w:t xml:space="preserve"> Deuteronomium 26:1–29:9</w:t>
      </w:r>
    </w:p>
    <w:p>
      <w:pPr>
        <w:spacing w:lineRule="auto"/>
      </w:pPr>
      <w:r>
        <w:rPr/>
        <w:t xml:space="preserve">  ·  </w:t>
      </w:r>
    </w:p>
    <w:p>
      <w:pPr>
        <w:spacing w:lineRule="auto"/>
      </w:pPr>
      <w:r>
        <w:rPr>
          <w:b/>
        </w:rPr>
        <w:t xml:space="preserve">Haftara:</w:t>
      </w:r>
      <w:r>
        <w:rPr/>
        <w:t xml:space="preserve"> Jesaja 60:1–22</w:t>
      </w:r>
    </w:p>
    <w:p>
      <w:pPr>
        <w:spacing w:lineRule="auto"/>
      </w:pPr>
      <w:r>
        <w:rPr/>
        <w:t xml:space="preserve">  ·  </w:t>
      </w:r>
    </w:p>
    <w:p>
      <w:pPr>
        <w:spacing w:lineRule="auto"/>
      </w:pPr>
      <w:r>
        <w:rPr>
          <w:b/>
        </w:rPr>
        <w:t xml:space="preserve">Evangelie:</w:t>
      </w:r>
      <w:r>
        <w:rPr/>
        <w:t xml:space="preserve"> Mattheüs 4:13–24</w:t>
      </w:r>
    </w:p>
    <w:p>
      <w:pPr>
        <w:spacing w:lineRule="auto"/>
      </w:pPr>
      <w:r>
        <w:rPr/>
        <w:t xml:space="preserve">In Ki Tavo breng je het eérste van de oogst terug omdat álles gave is — tot het hart om te verstaan toe (29:4); en de vreugde daarbij (28:47) is geen sfeer maar de toets of je nog gedenkt Wie het gaf.</w:t>
      </w:r>
    </w:p>
    <w:p>
      <w:pPr>
        <w:pStyle w:val="Heading2"/>
        <w:spacing w:lineRule="auto"/>
      </w:pPr>
      <w:r>
        <w:rPr/>
        <w:t xml:space="preserve">§0. Waarnemingsronde (volgorde-borging)</w:t>
      </w:r>
    </w:p>
    <w:p>
      <w:pPr>
        <w:spacing w:lineRule="auto"/>
      </w:pPr>
      <w:r>
        <w:rPr/>
        <w:t xml:space="preserve">Deze ronde legt de productie-volgorde vast: eerst waarnemen, dan de assen als open vraag, dan het zwaartepunt aflezen, en pas dan de draad. De richtingstoets is de horizon, niet het vertrekpunt.</w:t>
      </w:r>
    </w:p>
    <w:p>
      <w:pPr>
        <w:pStyle w:val="Heading3"/>
        <w:spacing w:lineRule="auto"/>
      </w:pPr>
      <w:r>
        <w:rPr/>
        <w:t xml:space="preserve">0.1 Blinde waarneming</w:t>
      </w:r>
    </w:p>
    <w:p>
      <w:pPr>
        <w:spacing w:lineRule="auto"/>
      </w:pPr>
      <w:r>
        <w:rPr/>
        <w:t xml:space="preserve">De parasja opent met de eerstelingen (26:1–11): kom je in het land, neem dan het eérste van alle vrucht, doe het in een korf, ga naar de plaats die Hij kiest, en spreek een belijdenis uit — ‘een zwervende Arameeer was mijn vader’ (arami oved avi): we gingen naar Egypte, werden een volk, werden verdrukt, riepen, en de HEERE bracht ons uit met sterke hand naar dit land van melk en honing; en nú breng ik het eerste. En je zult je verheugen in al het goede. Dan de tiende-belijdenis (26:12–15), en een wederzijdse verklaring (26:16–19): jíj hebt gezegd dat de HEERE je God is, en de HEERE heeft gezegd dat jij Zijn eigen volk bent. Dan de stenen bij Sichem, met heel deze Tora, en Gerizim/Ebal met twaalf vervloekingen over vooral vérborgen zonden, telkens beantwoord met ‘Amen’ (27). Dan de grote zegen en vloek (28). En dan (29:1–9): je hébt alles gezien — de tekenen en wonderen — ‘maar de HEERE heeft u geen hart gegeven om te kennen, geen ogen om te zien, geen oren om te horen, tot op deze dag’ (29:4).</w:t>
      </w:r>
    </w:p>
    <w:p>
      <w:pPr>
        <w:spacing w:lineRule="auto"/>
      </w:pPr>
      <w:r>
        <w:rPr/>
        <w:t xml:space="preserve">Doorlopende spanning: overal wordt de mens tot zéggen en dóen geroepen (de eerstelingen-belijdenis, ‘ik heb gehoord’, ‘jij hebt gezegd’, het ‘Amen’, gehoorzaam-en-word-gezegend) — en dan zegt 29:4 dat het hart om dit werkelijk te vérstaan geen eigen prestatie is, maar gegeven wordt.</w:t>
      </w:r>
    </w:p>
    <w:p>
      <w:pPr>
        <w:pStyle w:val="Heading3"/>
        <w:spacing w:lineRule="auto"/>
      </w:pPr>
      <w:r>
        <w:rPr/>
        <w:t xml:space="preserve">0.2 De vier assen als open vraag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Wat de tekst naar boven brengt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Weging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volume dominant: de hele parasja is verbondsrespons — breng het eerste (26:2), belijd (26:5–10), gedenk, gehoorzaam, verheug je (26:11), antwoord ‘Amen’ (27:15–26).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 dragend: alles is ontvangen — het land, de vrucht, het volk-zijn — tót het hart om te verstaan (29:4). De status ‘eigen volk’ (am segoela) wordt door Gód uitgesproken (26:18).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 ontmoet Wil in de dankbaarheid.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Aanwezig maar niet de kern: de twaalf vloeken raken vérborgen zonden (27:15–26) — heelheid, geen kloof tussen binnen en buiten; en zegen/vloek is een coherentie van gevolgen (28).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Ondersteunend; eerlijk als tweede pool.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‘Wanneer u in het land komt’ (26:1); de veertig jaar (29:5); ‘tot op deze dag’ (29:4).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Reactiviteit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Zwak; niet vooropgesteld.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Marginaal.</w:t>
            </w:r>
          </w:p>
        </w:tc>
      </w:tr>
    </w:tbl>
    <w:p>
      <w:pPr>
        <w:spacing w:lineRule="auto"/>
      </w:pPr>
      <w:r>
        <w:rPr/>
      </w:r>
    </w:p>
    <w:p>
      <w:pPr>
        <w:pStyle w:val="Heading3"/>
        <w:spacing w:lineRule="auto"/>
      </w:pPr>
      <w:r>
        <w:rPr/>
        <w:t xml:space="preserve">0.3 Afgelezen zwaartepunt</w:t>
      </w:r>
    </w:p>
    <w:p>
      <w:pPr>
        <w:spacing w:lineRule="auto"/>
      </w:pPr>
      <w:r>
        <w:rPr/>
        <w:t xml:space="preserve">Afgelezen, niet gekozen: het gaat over </w:t>
      </w:r>
      <w:r>
        <w:rPr>
          <w:b/>
        </w:rPr>
        <w:t xml:space="preserve">de verbondsrespons als dankbaar gedenken — dienen uit ontvangen overvloed</w:t>
      </w:r>
      <w:r>
        <w:rPr/>
        <w:t xml:space="preserve">. De twee dragende assen zijn </w:t>
      </w:r>
      <w:r>
        <w:rPr>
          <w:b/>
        </w:rPr>
        <w:t xml:space="preserve">Bron</w:t>
      </w:r>
      <w:r>
        <w:rPr/>
        <w:t xml:space="preserve"> (alles is gave, tot het hart toe) en </w:t>
      </w:r>
      <w:r>
        <w:rPr>
          <w:b/>
        </w:rPr>
        <w:t xml:space="preserve">Wil</w:t>
      </w:r>
      <w:r>
        <w:rPr/>
        <w:t xml:space="preserve"> (belijden, gedenken, gehoorzamen, je verheugen), en ze ontmoeten elkaar in de dankbaarheid. De eerstelingen zijn het paradigma; 28:47 is de negatieve keerzijde (vreugdeloos dienen = wortel van de vloek); en 29:4 is de bodem: zelfs het hart om dit te verstaan is gegeven.</w:t>
      </w:r>
    </w:p>
    <w:p>
      <w:pPr>
        <w:pStyle w:val="Heading3"/>
        <w:spacing w:lineRule="auto"/>
      </w:pPr>
      <w:r>
        <w:rPr/>
        <w:t xml:space="preserve">0.4 Framing-toets</w:t>
      </w:r>
    </w:p>
    <w:p>
      <w:pPr>
        <w:spacing w:lineRule="auto"/>
      </w:pPr>
      <w:r>
        <w:rPr/>
        <w:t xml:space="preserve">Kwam dit uit de waarneming? Ja — de frame van de parasja (eerstelingen vooraan, 29:4 achteraan) plus de diagnose in 28:47 sturen samen naar het dankbare, gedenkende hart.</w:t>
      </w:r>
    </w:p>
    <w:p>
      <w:pPr>
        <w:spacing w:lineRule="auto"/>
      </w:pPr>
      <w:r>
        <w:rPr/>
        <w:t xml:space="preserve">Twee dingen eerlijk. Eén: de assen (Bron–Wil) zijn dezelfde als bij Re’eh, en ik moet controleren of ik dat sjabloon niet oplég. Getoetst: de ínhoud is anders en uit déze tekst gelezen — Re’eh landde op ‘niet in eigen ogen maar voor Zijn aangezicht’; Ki Tavo landt op dánkbaar gedenken (arami oved avi, 28:47, 29:4). Dat het bij twee Deuteronomium-parasjot beide om de wil-als-respons draait, is de aard van Deuteronomium, geen import; de scharnieren zijn hier Ki Tavo’s eigen.</w:t>
      </w:r>
    </w:p>
    <w:p>
      <w:pPr>
        <w:spacing w:lineRule="auto"/>
      </w:pPr>
      <w:r>
        <w:rPr/>
        <w:t xml:space="preserve">Twee: er is een reële alternatieve lezing die ik niet wegpoets — de twaalf vloeken over vérborgen zonden (27:15–26) en de zegen/vloek-gevolgen trekken naar </w:t>
      </w:r>
      <w:r>
        <w:rPr>
          <w:b/>
        </w:rPr>
        <w:t xml:space="preserve">Coherentie</w:t>
      </w:r>
      <w:r>
        <w:rPr/>
        <w:t xml:space="preserve"> (heelheid, geen kloof tussen verborgen en openbaar). Die pool is reëel in 27–28. Máár de frame en de diagnose (28:47) drukken harder op het gedenkende hart dan op de integriteit, dus dáár landt het — op </w:t>
      </w:r>
      <w:r>
        <w:rPr>
          <w:b/>
        </w:rPr>
        <w:t xml:space="preserve">Bron–Wil</w:t>
      </w:r>
      <w:r>
        <w:rPr/>
        <w:t xml:space="preserve">, met de Coherentie-trek eerlijk benoemd.</w:t>
      </w:r>
    </w:p>
    <w:p>
      <w:pPr>
        <w:pStyle w:val="Heading2"/>
        <w:spacing w:lineRule="auto"/>
      </w:pPr>
      <w:r>
        <w:rPr/>
        <w:t xml:space="preserve">§1. De draad</w:t>
      </w:r>
    </w:p>
    <w:p>
      <w:pPr>
        <w:spacing w:lineRule="auto"/>
      </w:pPr>
      <w:r>
        <w:rPr>
          <w:b/>
        </w:rPr>
        <w:t xml:space="preserve">Het eerste terugbrengen — dienen uit wat je ontving.</w:t>
      </w:r>
      <w:r>
        <w:rPr/>
        <w:t xml:space="preserve"> Alles in Ki Tavo is gave: het land, de vrucht, het volk-zijn, tot het hart om te verstaan toe (29:4). En juist daarom is de respons geen prestatie maar dankbaarheid: je brengt het eérste terug, met het verhaal van genade op je lippen, en je verheugt je. Het vreugdeloze, vergeten dienen (28:47) is de wortel van de vloek; het dankbare gedenken de wortel van de zegen.</w:t>
      </w:r>
    </w:p>
    <w:p>
      <w:pPr>
        <w:pStyle w:val="Heading2"/>
        <w:spacing w:lineRule="auto"/>
      </w:pPr>
      <w:r>
        <w:rPr/>
        <w:t xml:space="preserve">§2. Peshat per blok</w:t>
      </w:r>
    </w:p>
    <w:p>
      <w:pPr>
        <w:pStyle w:val="Heading3"/>
        <w:spacing w:lineRule="auto"/>
      </w:pPr>
      <w:r>
        <w:rPr/>
        <w:t xml:space="preserve">2.1 De eerstelingen (26:1–11)</w:t>
      </w:r>
    </w:p>
    <w:p>
      <w:pPr>
        <w:numPr>
          <w:ilvl w:val="0"/>
          <w:numId w:val="1"/>
        </w:numPr>
        <w:spacing w:lineRule="auto"/>
      </w:pPr>
      <w:r>
        <w:rPr/>
        <w:t xml:space="preserve">Kom je in het land, neem het eerste van alle vrucht in een korf, ga naar de gekozen plaats, en geef het aan de priester.</w:t>
      </w:r>
    </w:p>
    <w:p>
      <w:pPr>
        <w:numPr>
          <w:ilvl w:val="0"/>
          <w:numId w:val="1"/>
        </w:numPr>
        <w:spacing w:lineRule="auto"/>
      </w:pPr>
      <w:r>
        <w:rPr/>
        <w:t xml:space="preserve">26:5–10 — de belijdenis </w:t>
      </w:r>
      <w:r>
        <w:rPr/>
        <w:t xml:space="preserve">‘een zwervende Arameeer was mijn vader’</w:t>
      </w:r>
      <w:r>
        <w:rPr/>
        <w:t xml:space="preserve">: Egypte, uitgroeien tot een volk, verdrukking, roepen, uittocht met sterke hand, het land — en nú het eerste. ‘Verheug u in al het goede’ (26:11).</w:t>
      </w:r>
    </w:p>
    <w:p>
      <w:pPr>
        <w:pStyle w:val="Heading3"/>
        <w:spacing w:lineRule="auto"/>
      </w:pPr>
      <w:r>
        <w:rPr/>
        <w:t xml:space="preserve">2.2 De tiende-belijdenis (26:12–15)</w:t>
      </w:r>
    </w:p>
    <w:p>
      <w:pPr>
        <w:numPr>
          <w:ilvl w:val="0"/>
          <w:numId w:val="2"/>
        </w:numPr>
        <w:spacing w:lineRule="auto"/>
      </w:pPr>
      <w:r>
        <w:rPr/>
        <w:t xml:space="preserve">De derde-jaars tiende voor Leviet, vreemdeling, wees en weduwe; </w:t>
      </w:r>
      <w:r>
        <w:rPr/>
        <w:t xml:space="preserve">‘ik heb gehoord naar de stem van de HEERE’</w:t>
      </w:r>
      <w:r>
        <w:rPr/>
        <w:t xml:space="preserve"> (26:14). Gehoorzaamheid als hoorbaar antwoord.</w:t>
      </w:r>
    </w:p>
    <w:p>
      <w:pPr>
        <w:pStyle w:val="Heading3"/>
        <w:spacing w:lineRule="auto"/>
      </w:pPr>
      <w:r>
        <w:rPr/>
        <w:t xml:space="preserve">2.3 De wederzijdse verklaring (26:16–19)</w:t>
      </w:r>
    </w:p>
    <w:p>
      <w:pPr>
        <w:numPr>
          <w:ilvl w:val="0"/>
          <w:numId w:val="3"/>
        </w:numPr>
        <w:spacing w:lineRule="auto"/>
      </w:pPr>
      <w:r>
        <w:rPr/>
        <w:t xml:space="preserve">Jij hebt heden verklaard dat de HEERE je God is; en de HEERE heeft verklaard dat jij Zijn eigen volk bent (am segoela), hoog verheven boven de volken.</w:t>
      </w:r>
    </w:p>
    <w:p>
      <w:pPr>
        <w:pStyle w:val="Heading3"/>
        <w:spacing w:lineRule="auto"/>
      </w:pPr>
      <w:r>
        <w:rPr/>
        <w:t xml:space="preserve">2.4 De stenen en de vloeken (27)</w:t>
      </w:r>
    </w:p>
    <w:p>
      <w:pPr>
        <w:numPr>
          <w:ilvl w:val="0"/>
          <w:numId w:val="4"/>
        </w:numPr>
        <w:spacing w:lineRule="auto"/>
      </w:pPr>
      <w:r>
        <w:rPr/>
        <w:t xml:space="preserve">Bij binnenkomst grote stenen, bestreken met kalk, beschreven met heel deze Tora; een altaar. Gerizim/Ebal; twaalf vervloekingen — vooral over vérborgen zonden — elk beantwoord met ‘Amen’.</w:t>
      </w:r>
    </w:p>
    <w:p>
      <w:pPr>
        <w:pStyle w:val="Heading3"/>
        <w:spacing w:lineRule="auto"/>
      </w:pPr>
      <w:r>
        <w:rPr/>
        <w:t xml:space="preserve">2.5 Zegen en vloek (28)</w:t>
      </w:r>
    </w:p>
    <w:p>
      <w:pPr>
        <w:numPr>
          <w:ilvl w:val="0"/>
          <w:numId w:val="5"/>
        </w:numPr>
        <w:spacing w:lineRule="auto"/>
      </w:pPr>
      <w:r>
        <w:rPr/>
        <w:t xml:space="preserve">De zegeningen bij gehoorzaamheid; de lange, aanzwellende vloek bij ongehoorzaamheid; en de sleutel: </w:t>
      </w:r>
      <w:r>
        <w:rPr/>
        <w:t xml:space="preserve">‘omdat u de HEERE niet met blijdschap en hartelijke vreugde gediend hebt, vanwege de overvloed van alles’</w:t>
      </w:r>
      <w:r>
        <w:rPr/>
        <w:t xml:space="preserve"> (28:47).</w:t>
      </w:r>
    </w:p>
    <w:p>
      <w:pPr>
        <w:pStyle w:val="Heading3"/>
        <w:spacing w:lineRule="auto"/>
      </w:pPr>
      <w:r>
        <w:rPr/>
        <w:t xml:space="preserve">2.6 ‘Geen hart om te kennen’ (29:1–9)</w:t>
      </w:r>
    </w:p>
    <w:p>
      <w:pPr>
        <w:numPr>
          <w:ilvl w:val="0"/>
          <w:numId w:val="6"/>
        </w:numPr>
        <w:spacing w:lineRule="auto"/>
      </w:pPr>
      <w:r>
        <w:rPr/>
        <w:t xml:space="preserve">Je hébt alles gezien — de tekenen, de wonderen, de veertig jaar — </w:t>
      </w:r>
      <w:r>
        <w:rPr/>
        <w:t xml:space="preserve">‘maar de HEERE heeft u geen hart gegeven om te kennen, geen ogen om te zien, geen oren om te horen, tot op deze dag’</w:t>
      </w:r>
      <w:r>
        <w:rPr/>
        <w:t xml:space="preserve"> (29:4). Houd de woorden van dit verbond en doe ze.</w:t>
      </w:r>
    </w:p>
    <w:p>
      <w:pPr>
        <w:pStyle w:val="Heading3"/>
        <w:spacing w:lineRule="auto"/>
      </w:pPr>
      <w:r>
        <w:rPr/>
        <w:t xml:space="preserve">2.7 Haftara — Jesaja 60:1–22</w:t>
      </w:r>
    </w:p>
    <w:p>
      <w:pPr>
        <w:numPr>
          <w:ilvl w:val="0"/>
          <w:numId w:val="7"/>
        </w:numPr>
        <w:spacing w:lineRule="auto"/>
      </w:pPr>
      <w:r>
        <w:rPr/>
        <w:t xml:space="preserve">‘Sta op, word verlicht, want uw licht komt, en de heerlijkheid van de HEERE gaat over u op’ (60:1). Het licht rijst </w:t>
      </w:r>
      <w:r>
        <w:rPr/>
        <w:t xml:space="preserve">óver</w:t>
      </w:r>
      <w:r>
        <w:rPr/>
        <w:t xml:space="preserve"> je op en de volken komen tot dat licht — ontvangen licht dat wordt teruggekaatst.</w:t>
      </w:r>
    </w:p>
    <w:p>
      <w:pPr>
        <w:pStyle w:val="Heading3"/>
        <w:spacing w:lineRule="auto"/>
      </w:pPr>
      <w:r>
        <w:rPr/>
        <w:t xml:space="preserve">2.8 Evangelie — Mattheüs 4:13–24</w:t>
      </w:r>
    </w:p>
    <w:p>
      <w:pPr>
        <w:numPr>
          <w:ilvl w:val="0"/>
          <w:numId w:val="8"/>
        </w:numPr>
        <w:spacing w:lineRule="auto"/>
      </w:pPr>
      <w:r>
        <w:rPr/>
        <w:t xml:space="preserve">Yeshua in Kapernaum, in ‘Galilea der heidenen’: </w:t>
      </w:r>
      <w:r>
        <w:rPr/>
        <w:t xml:space="preserve">‘het volk dat in duisternis zat, heeft een groot licht gezien’</w:t>
      </w:r>
      <w:r>
        <w:rPr/>
        <w:t xml:space="preserve"> (4:16, citaat Jes. 9). De roeping van de eerste discipelen (netten laten, volgen), prediking en genezing.</w:t>
      </w:r>
    </w:p>
    <w:p>
      <w:pPr>
        <w:pStyle w:val="Heading2"/>
        <w:spacing w:lineRule="auto"/>
      </w:pPr>
      <w:r>
        <w:rPr/>
        <w:t xml:space="preserve">§3. De twee dragende assen en hun relatie</w:t>
      </w:r>
    </w:p>
    <w:p>
      <w:pPr>
        <w:pStyle w:val="Heading3"/>
        <w:spacing w:lineRule="auto"/>
      </w:pPr>
      <w:r>
        <w:rPr/>
        <w:t xml:space="preserve">3.1 Bron — alles is gave</w:t>
      </w:r>
    </w:p>
    <w:p>
      <w:pPr>
        <w:spacing w:lineRule="auto"/>
      </w:pPr>
      <w:r>
        <w:rPr/>
        <w:t xml:space="preserve">Het land, de vrucht, het volk-zijn: niets is verdiend. Zelfs het hart om te verstaan wordt gegeven of ingehouden (29:4), en de status ‘eigen volk’ wordt door God uitgesproken (26:18). De mens ontvangt vóór hij iets terugbrengt.</w:t>
      </w:r>
    </w:p>
    <w:p>
      <w:pPr>
        <w:pStyle w:val="Heading3"/>
        <w:spacing w:lineRule="auto"/>
      </w:pPr>
      <w:r>
        <w:rPr/>
        <w:t xml:space="preserve">3.2 Wil — de dankbare respons</w:t>
      </w:r>
    </w:p>
    <w:p>
      <w:pPr>
        <w:spacing w:lineRule="auto"/>
      </w:pPr>
      <w:r>
        <w:rPr/>
        <w:t xml:space="preserve">En juist daarom is de respons geen zelf-prestatie maar dankbaarheid: breng het eerste, belijd het verhaal van genade, gedenk, gehoorzaam, verheug je, antwoord ‘Amen’. De wil is echt aangesproken — maar als antwoord, niet als bron.</w:t>
      </w:r>
    </w:p>
    <w:p>
      <w:pPr>
        <w:pStyle w:val="Heading3"/>
        <w:spacing w:lineRule="auto"/>
      </w:pPr>
      <w:r>
        <w:rPr/>
        <w:t xml:space="preserve">3.3 De relatie — dankbaar gedenken als scharnier</w:t>
      </w:r>
    </w:p>
    <w:p>
      <w:pPr>
        <w:numPr>
          <w:ilvl w:val="0"/>
          <w:numId w:val="9"/>
        </w:numPr>
        <w:spacing w:lineRule="auto"/>
      </w:pPr>
      <w:r>
        <w:rPr/>
        <w:t xml:space="preserve">26:5–10 — de eerstelingen-belijdenis (arami oved avi): je brengt het eérste terug mét het verhaal van gave op je lippen. Ontvangen en teruggeven in één handeling.</w:t>
      </w:r>
    </w:p>
    <w:p>
      <w:pPr>
        <w:numPr>
          <w:ilvl w:val="0"/>
          <w:numId w:val="9"/>
        </w:numPr>
        <w:spacing w:lineRule="auto"/>
      </w:pPr>
      <w:r>
        <w:rPr/>
        <w:t xml:space="preserve">28:47 — vreugdeloos, vergeten dienen ‘vanwege de overvloed’ is de wortel van de vloek: de gave zonder het gedenken slaat om.</w:t>
      </w:r>
    </w:p>
    <w:p>
      <w:pPr>
        <w:numPr>
          <w:ilvl w:val="0"/>
          <w:numId w:val="9"/>
        </w:numPr>
        <w:spacing w:lineRule="auto"/>
      </w:pPr>
      <w:r>
        <w:rPr/>
        <w:t xml:space="preserve">29:4 — zelfs het hart om dit te verstaan is gave; de wil is aangesproken maar niet autonoom.</w:t>
      </w:r>
    </w:p>
    <w:p>
      <w:pPr>
        <w:spacing w:lineRule="auto"/>
      </w:pPr>
      <w:r>
        <w:rPr/>
        <w:t xml:space="preserve">Eerlijke grens: ook deze twee-assen-lezing kan tot een té nette synthese verleiden. De borging is dat de eerstelingen (vooraan), 28:47 (in het midden van de vloek) en 29:4 (achteraan) de figuur zelf dragen — niet door de lezer aangebracht.</w:t>
      </w:r>
    </w:p>
    <w:p>
      <w:pPr>
        <w:pStyle w:val="Heading2"/>
        <w:spacing w:lineRule="auto"/>
      </w:pPr>
      <w:r>
        <w:rPr/>
        <w:t xml:space="preserve">§4. Verdieping: de vreugde als toets</w:t>
      </w:r>
    </w:p>
    <w:p>
      <w:pPr>
        <w:spacing w:lineRule="auto"/>
      </w:pPr>
      <w:r>
        <w:rPr/>
        <w:t xml:space="preserve">De parasja maakt van vreugde geen sfeer maar een toets. Twee mensen kunnen precies dezelfde geboden houden; het verschil ligt in 28:47 — met of zonder blijdschap, uit gedenken of uit gewenning. De eerstelingen tonen waar de vreugde vandaan komt: niet uit wat ik presteerde, maar uit wat ik ontving, opnieuw verteld bij elke oogst. En 29:4 legt de bodem bloot: waar de vreugde en het verstaan ontbreken, is dat geen falen van techniek maar een gebrek aan het gegeven hart. De toets is dus niet ‘doe ik genoeg?’ maar ‘gedenk ik, en verheug ik mij in de Gever?’</w:t>
      </w:r>
    </w:p>
    <w:p>
      <w:pPr>
        <w:pStyle w:val="Heading2"/>
        <w:spacing w:lineRule="auto"/>
      </w:pPr>
      <w:r>
        <w:rPr/>
        <w:t xml:space="preserve">§5. De richtingstoets als horizon</w:t>
      </w:r>
    </w:p>
    <w:p>
      <w:pPr>
        <w:spacing w:lineRule="auto"/>
      </w:pPr>
      <w:r>
        <w:rPr/>
        <w:t xml:space="preserve">Onder dit alles ligt de éne vraag — ontvangen of gegrepen — als de grond. De eerstelingen zijn de ontvangen-vorm: het eérste terug, wánt alles is gegeven. Het vreugdeloze ‘mijn eigen kracht heeft mij dit verworven’-dienen (vgl. 8:17; 28:47) is de gegrepen-vorm. En in het evangelie wordt de horizon zichtbaar: het licht gaat op (Jes. 60; Matt. 4:16), en de </w:t>
      </w:r>
      <w:r>
        <w:rPr/>
        <w:t xml:space="preserve">ogen</w:t>
      </w:r>
      <w:r>
        <w:rPr/>
        <w:t xml:space="preserve"> die 29:4 nog inhield, gaan open in Yeshua — het gegeven hart, belichaamd.</w:t>
      </w:r>
    </w:p>
    <w:p>
      <w:pPr>
        <w:pStyle w:val="Heading2"/>
        <w:spacing w:lineRule="auto"/>
      </w:pPr>
      <w:r>
        <w:rPr/>
        <w:t xml:space="preserve">§6. Statustabel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Toelichting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eerstelingen (26:1–11)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Breng het eérste van alle vrucht terug naar de gekozen plaats, mét de belijdenis van genade — het paradigma van dienen uit ontvangen overvloed.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Arami oved avi (26:5)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‘Een zwervende Arameeër was mijn vader’ — het hele verhaal van gave (Egypte, uittocht, land) op de lippen bij het brengen. Gedenken als kern van de gave.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‘Verheug u in al het goede’ (26:11)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Vreugde is niet bijzaak maar de vorm van de dankbare respons.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Jij hebt gezegd / de HEERE heeft gezegd (26:17–18)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Wederzijdse verbondsverklaring; jouw belijdenis staat tegenover Zijn uitspraak over jou.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 segoela (26:18)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status ‘eigen volk’ is niet verworven maar door God uítgesproken.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28:47 — de sleutel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‘Omdat u de HEERE niet met blijdschap en hartelijke vreugde gediend hebt, vanwege de overvloed’ — vreugdeloos, vergeten dienen is de wortel van de vloek.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29:4 — de bodem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HEERE heeft u geen hart gegeven om te kennen … tot op deze dag’ — zelfs het hart om dit te verstaan is gave, geen prestatie.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Tiende-belijdenis (26:12–15)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‘Ik heb gehoord naar de stem van de HEERE’ — gehoorzaamheid als hoorbaar antwoord, met de gave gedeeld met Leviet, vreemdeling, wees, weduwe.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 op, word verlicht’ (Jes. 60:1)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Haftara: het licht komt óver u op (ontvangen); je straalt door het terug te kaatsen — dezelfde ontvang-en-geef-structuur als de eerstelingen.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‘Een groot licht’ (Matt. 4:16)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Evangelie: het volk in duisternis ziet een groot licht — Jesaja vervuld in Yeshua; de ogen die 29:4 nog inhield, gaan 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korf (teneh, 26:2,4)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Beeld van het eerste terugbrengen; homiletisch bruikbaar, na de 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stenen met de Tora (27:2–8)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Woord zichtbaar in het land, bij binnenkomst; suggestief motief van het gedenken.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Melk en honing / de overvloed (26:9; 28:47)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overvloed die tot vreugde had moeten leiden; verbindt de zegen met de sleutel in 28:47.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Licht terugkaatsen (Jes. 60) → eerstelingen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ontvangen-en-geef-structuur van het licht spiegelt het eerste-terugbrengen; suggestieve parallel.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ogen die opengaan (29:4 → Matt.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Van ‘geen hart om te kennen’ naar ‘een groot licht’; suggestief-christologische lijn, na de 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vloek niet losmaken van 28:47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Hoofdstuk 28 niet als kale dreiging lezen; de wortel die de tekst zelf noemt is vreugdeloos dienen.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twaalf vloeken (27) niet moralistisch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 raken juist vérborgen zonden (heelheid, geen kloof binnen/buiten), niet louter een gedragslijst.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29:4 niet als determinisme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willekeurig onthouden door God, maar afhankelijkheid van genade; geen fatalisme.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4:13–24 niet los van Israël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‘Galilea der heidenen’ (4:15) blijft binnen het verbond; geen vervanging.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Yeshua geeft het hart dat 29:4 inhield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Belijdende toepassing: het hart om te kennen, de ogen om te zien, worden in Hem gegeven — niet exegetisch dwingend.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licht dat opgaat (Jes. 60 / Matt. 4:16)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Belijdend gelezen als Yeshua, in wie Jesaja’s licht opgaat over het volk in duisternis.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eerstelingen → Christus als eersteling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Belijdende lijn (vgl. 1 Kor. 15:20): Hij is de eersteling; wat wij terugbrengen, ontvingen we in Hem.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Netten laten en volgen (Matt. 4:20)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ontvangen-vorm belichaamd: het licht gaat op, en het antwoord is loslaten en volgen.</w:t>
            </w:r>
          </w:p>
        </w:tc>
      </w:tr>
    </w:tbl>
    <w:p>
      <w:pPr>
        <w:spacing w:lineRule="auto"/>
      </w:pPr>
      <w:r>
        <w:rPr/>
      </w:r>
    </w:p>
    <w:p>
      <w:pPr>
        <w:pStyle w:val="Heading2"/>
        <w:spacing w:lineRule="auto"/>
      </w:pPr>
      <w:r>
        <w:rPr/>
        <w:t xml:space="preserve">§7. Podcast-vertaalslag</w:t>
      </w:r>
    </w:p>
    <w:p>
      <w:pPr>
        <w:spacing w:lineRule="auto"/>
      </w:pPr>
      <w:r>
        <w:rPr/>
        <w:t xml:space="preserve">Kern in één zin: in Ki Tavo breng je het eérste terug omdat alles gave is — en de vreugde daarbij is geen sfeer maar de toets of je nog gedenkt Wie het gaf.</w:t>
      </w:r>
    </w:p>
    <w:p>
      <w:pPr>
        <w:spacing w:lineRule="auto"/>
      </w:pPr>
      <w:r>
        <w:rPr/>
        <w:t xml:space="preserve">Beeld: de korf met de eerste vrucht, en het verhaal van genade dat je hardop uitspreekt terwijl je hem neerzet — ‘een zwervende Arameeer was mijn vader’.</w:t>
      </w:r>
    </w:p>
    <w:p>
      <w:pPr>
        <w:spacing w:lineRule="auto"/>
      </w:pPr>
      <w:r>
        <w:rPr/>
        <w:t xml:space="preserve">Vraag om mee te nemen: dien ik uit vreugde over wat ik ontving, of uit plicht en eigen kracht — en gedenk ik nog van Wie het komt?</w:t>
      </w:r>
    </w:p>
    <w:p>
      <w:pPr>
        <w:pStyle w:val="Heading2"/>
        <w:spacing w:lineRule="auto"/>
      </w:pPr>
      <w:r>
        <w:rPr/>
        <w:t xml:space="preserve">§8. Bronverantwoording</w:t>
      </w:r>
    </w:p>
    <w:p>
      <w:pPr>
        <w:numPr>
          <w:ilvl w:val="0"/>
          <w:numId w:val="10"/>
        </w:numPr>
        <w:spacing w:lineRule="auto"/>
      </w:pPr>
      <w:r>
        <w:rPr/>
        <w:t xml:space="preserve">BHS, Deut. 26:1–29:9 — controlepunten: arami oved avi (26:5), am segoela (26:18), 28:47 (vreugdeloos dienen), 29:4 (geen hart om te kennen).</w:t>
      </w:r>
    </w:p>
    <w:p>
      <w:pPr>
        <w:numPr>
          <w:ilvl w:val="0"/>
          <w:numId w:val="10"/>
        </w:numPr>
        <w:spacing w:lineRule="auto"/>
      </w:pPr>
      <w:r>
        <w:rPr/>
        <w:t xml:space="preserve">BHS, Jes. 60:1 (‘sta op, word verlicht’) — controlepunt voor de haftara-kern.</w:t>
      </w:r>
    </w:p>
    <w:p>
      <w:pPr>
        <w:numPr>
          <w:ilvl w:val="0"/>
          <w:numId w:val="10"/>
        </w:numPr>
        <w:spacing w:lineRule="auto"/>
      </w:pPr>
      <w:r>
        <w:rPr/>
        <w:t xml:space="preserve">NA28, Matt. 4:16 (citaat Jes. 9:1–2, ‘een groot licht’) — controlepunt voor het evangelie, belijdend gemarkeerd.</w:t>
      </w:r>
    </w:p>
    <w:p>
      <w:pPr>
        <w:numPr>
          <w:ilvl w:val="0"/>
          <w:numId w:val="10"/>
        </w:numPr>
        <w:spacing w:lineRule="auto"/>
      </w:pPr>
      <w:r>
        <w:rPr/>
        <w:t xml:space="preserve">De plaatsing van Matt. 4:13–24 als evangelielezing en Jes. 60:1–22 als haftara: liturgisch/redactioneel gegeven, als zodanig gemarkeerd.</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