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Studieblad</w:t>
      </w:r>
    </w:p>
    <w:p>
      <w:pPr>
        <w:pStyle w:val="Heading1"/>
        <w:spacing w:lineRule="auto"/>
      </w:pPr>
      <w:r>
        <w:rPr/>
        <w:t xml:space="preserve">In je mond, in je hart, in je handen</w:t>
      </w:r>
    </w:p>
    <w:p>
      <w:pPr>
        <w:spacing w:lineRule="auto"/>
      </w:pPr>
      <w:r>
        <w:rPr>
          <w:b/>
        </w:rPr>
        <w:t xml:space="preserve">Tora:</w:t>
      </w:r>
      <w:r>
        <w:rPr/>
        <w:t xml:space="preserve"> Deuteronomium 29:10–31:30</w:t>
      </w:r>
    </w:p>
    <w:p>
      <w:pPr>
        <w:spacing w:lineRule="auto"/>
      </w:pPr>
      <w:r>
        <w:rPr/>
        <w:t xml:space="preserve">  ·  </w:t>
      </w:r>
    </w:p>
    <w:p>
      <w:pPr>
        <w:spacing w:lineRule="auto"/>
      </w:pPr>
      <w:r>
        <w:rPr>
          <w:b/>
        </w:rPr>
        <w:t xml:space="preserve">Haftara:</w:t>
      </w:r>
      <w:r>
        <w:rPr/>
        <w:t xml:space="preserve"> Jesaja 61:10-63:9</w:t>
      </w:r>
    </w:p>
    <w:p>
      <w:pPr>
        <w:spacing w:lineRule="auto"/>
      </w:pPr>
      <w:r>
        <w:rPr/>
        <w:t xml:space="preserve">  ·  </w:t>
      </w:r>
    </w:p>
    <w:p>
      <w:pPr>
        <w:spacing w:lineRule="auto"/>
      </w:pPr>
      <w:r>
        <w:rPr>
          <w:b/>
        </w:rPr>
        <w:t xml:space="preserve">Evangelie:</w:t>
      </w:r>
      <w:r>
        <w:rPr/>
        <w:t xml:space="preserve"> Johannes 12:41-50</w:t>
      </w:r>
    </w:p>
    <w:p>
      <w:pPr>
        <w:spacing w:lineRule="auto"/>
      </w:pPr>
      <w:r>
        <w:rPr/>
        <w:t xml:space="preserve">In Nitzavim/Vayelech is het woord niet in de hemel maar zéér nabij — in je mond, in je hart, in je handen, om het te dóen; God besnijdt eerst het hart (30:6), en wat je ontving geef je door, van Mozes op Jozua, van geslacht op geslacht.</w:t>
      </w:r>
    </w:p>
    <w:p>
      <w:pPr>
        <w:pStyle w:val="Heading2"/>
        <w:spacing w:lineRule="auto"/>
      </w:pPr>
      <w:r>
        <w:rPr/>
        <w:t xml:space="preserve">§0. Waarnemingsronde</w:t>
      </w:r>
    </w:p>
    <w:p>
      <w:pPr>
        <w:pStyle w:val="Heading3"/>
        <w:spacing w:lineRule="auto"/>
      </w:pPr>
      <w:r>
        <w:rPr/>
        <w:t xml:space="preserve">0.1 Blinde waarneming</w:t>
      </w:r>
    </w:p>
    <w:p>
      <w:pPr>
        <w:spacing w:lineRule="auto"/>
      </w:pPr>
      <w:r>
        <w:rPr/>
        <w:t xml:space="preserve">De tekst staat vol werkwoorden van tréden, kíezen, dóen, dóorgeven. Je staat vandaag allen present om ín het verbond te treden (29:10-12), óók namens wie er nog niet is (29:14). Er is een verborgen figuur: de wortel die ‘gif en alsem’ draagt, de mens die zich heimelijk zégent en tóch eigenzinnig wandelt (29:17-18). Na de ballingschap kéér je terug en dóe je (30:1-2). Het gebod is niet te zwaar, niet ver, niet in de hemel — ‘zéér nabij u, in uw mond en in uw hart, om het te dóen’ (30:11-14). ‘Kíes dan het leven’ (30:19). En Vayelecht: wees sterk, dráág over aan Jozua (31:7), lees deze Tora elke zeven jaar hardop vóór — mannen, vrouwen, kinderen, vreemdeling — dat zij horen, leren en dóen (31:11-12); de Tora en het lied als getuige (31:19,26).</w:t>
      </w:r>
    </w:p>
    <w:p>
      <w:pPr>
        <w:pStyle w:val="Heading3"/>
        <w:spacing w:lineRule="auto"/>
      </w:pPr>
      <w:r>
        <w:rPr/>
        <w:t xml:space="preserve">0.2 De vier assen als open vraag</w:t>
      </w:r>
    </w:p>
    <w:p>
      <w:pPr>
        <w:spacing w:lineRule="auto"/>
      </w:pPr>
      <w:r>
        <w:rPr/>
        <w:t xml:space="preserve">Waar valt het gewicht — bij wat God geeft (Bron), bij wat de mens antwoordt (Wil), bij de heelheid tussen verborgen en openbaar (Coherentie), of bij de beweging door de tijd (Traject)? Ik laat dat hier open en lees het pas na de blokken af.</w:t>
      </w:r>
    </w:p>
    <w:p>
      <w:pPr>
        <w:pStyle w:val="Heading3"/>
        <w:spacing w:lineRule="auto"/>
      </w:pPr>
      <w:r>
        <w:rPr/>
        <w:t xml:space="preserve">0.3 Afgelezen zwaartepunt</w:t>
      </w:r>
    </w:p>
    <w:p>
      <w:pPr>
        <w:spacing w:lineRule="auto"/>
      </w:pPr>
      <w:r>
        <w:rPr/>
        <w:t xml:space="preserve">🟢 De retorische massa van de parasja (30:11-20 + heel Vayelecht) ligt op doen, kiezen, overdragen — niet op ontvangen. De scharnier met vórige week maakt dat scherp: Ki Tavo eindigde op 29:4 (‘de HEERE heeft u géén hart gegeven om te verstaan’), Nitzavim komt uit op 30:14 (het woord is ál in uw hart, om te doen). Dezelfde twee verzen, náást elkaar, tegengestelde nadruk. Dáár draait het: van het ingehouden hart naar het handelende hart.</w:t>
      </w:r>
    </w:p>
    <w:p>
      <w:pPr>
        <w:pStyle w:val="Heading3"/>
        <w:spacing w:lineRule="auto"/>
      </w:pPr>
      <w:r>
        <w:rPr/>
        <w:t xml:space="preserve">0.4 Framing-toets</w:t>
      </w:r>
    </w:p>
    <w:p>
      <w:pPr>
        <w:spacing w:lineRule="auto"/>
      </w:pPr>
      <w:r>
        <w:rPr/>
        <w:t xml:space="preserve">🔴 De reflex legt het gewicht op ontvangen/weerloosheid, en er is één vers dat die lezing echt draagt: 30:6, ‘de HEERE zal uw hart besnijden om Hem lief te hebben.’ 🟢 Dat vers is geen bijzin — het is de grónd. Máár de parasja zet het niet als climax; ze zet het als vóorwaarde: omdat het hart wordt vrijgemaakt en het woord nabij is gebrácht, is dóen geen autonome krachttoer meer maar bereikbaar antwoord. De toets slaat dus niet ‘genade’ tegen ‘doen’ uit elkaar — ze grondt het doen ín de gegeven nabijheid. Wie 30:6 tot landingsplaats maakt en 30:11-20 tot bijzin, legt het sjabloon op; de tekst draait het om. De spanning 30:6 ↔︎ 30:14 blijft staan als open anomalie, niet gladgestreken.</w:t>
      </w:r>
    </w:p>
    <w:p>
      <w:pPr>
        <w:pStyle w:val="Heading2"/>
        <w:spacing w:lineRule="auto"/>
      </w:pPr>
      <w:r>
        <w:rPr/>
        <w:t xml:space="preserve">§1. De draad</w:t>
      </w:r>
    </w:p>
    <w:p>
      <w:pPr>
        <w:spacing w:lineRule="auto"/>
      </w:pPr>
      <w:r>
        <w:rPr/>
        <w:t xml:space="preserve">Het woord is niet ver weg en niet in de hemel — het is nabij gebracht, in je mond en je hart, om het te dóen; en die gedane trouw is niet privé maar dóorgegeven: van óns op onze kinderen, van Mozes op Jozua, van dit geslacht op het volgende. De genade is dat het bereikbaar is gemaakt; de roeping is dat je het treedt, kiest en doorgeeft.</w:t>
      </w:r>
    </w:p>
    <w:p>
      <w:pPr>
        <w:pStyle w:val="Heading2"/>
        <w:spacing w:lineRule="auto"/>
      </w:pPr>
      <w:r>
        <w:rPr/>
        <w:t xml:space="preserve">§2. Peshat per blok</w:t>
      </w:r>
    </w:p>
    <w:p>
      <w:pPr>
        <w:pStyle w:val="Heading3"/>
        <w:spacing w:lineRule="auto"/>
      </w:pPr>
      <w:r>
        <w:rPr/>
        <w:t xml:space="preserve">29:10-14</w:t>
      </w:r>
    </w:p>
    <w:p>
      <w:pPr>
        <w:spacing w:lineRule="auto"/>
      </w:pPr>
      <w:r>
        <w:rPr/>
        <w:t xml:space="preserve">Allen staan present, van hoofd tot waterputter, om ín het verbond en zijn eed te tréden; God bevestigt hen als volk — óók met wie er ‘heden niet is’. 🟢 Sleutel: treden (actief binnengaan), en het verbond dat over het aanwezige geslacht heen reikt.</w:t>
      </w:r>
    </w:p>
    <w:p>
      <w:pPr>
        <w:pStyle w:val="Heading3"/>
        <w:spacing w:lineRule="auto"/>
      </w:pPr>
      <w:r>
        <w:rPr/>
        <w:t xml:space="preserve">29:15-28</w:t>
      </w:r>
    </w:p>
    <w:p>
      <w:pPr>
        <w:spacing w:lineRule="auto"/>
      </w:pPr>
      <w:r>
        <w:rPr/>
        <w:t xml:space="preserve">Waarschuwing: de wortel die gif draagt is de mens die zich in het verborgene zégent (29:18). Toorn, ballingschap. Dan 29:29 (MT 29:28): ‘de verborgen dingen zijn voor de HEERE; de geopenbaarde voor óns en onze kinderen, om te dóen.’ 🟢 Contrast verborgen ↔︎ openbaar; de geopenbaarde kant is expliciet een dóe-opdracht.</w:t>
      </w:r>
    </w:p>
    <w:p>
      <w:pPr>
        <w:pStyle w:val="Heading3"/>
        <w:spacing w:lineRule="auto"/>
      </w:pPr>
      <w:r>
        <w:rPr/>
        <w:t xml:space="preserve">30:1-10</w:t>
      </w:r>
    </w:p>
    <w:p>
      <w:pPr>
        <w:spacing w:lineRule="auto"/>
      </w:pPr>
      <w:r>
        <w:rPr/>
        <w:t xml:space="preserve">Na ballingschap: terugkeer (tesjoewa), God verzamelt, God besnijdt het hart (30:6). 🟢 Hier zit de Bron-pool: het herstel is Gods daad, en het vrijgemaakte hart gaat vooraf aan het liefhebben.</w:t>
      </w:r>
    </w:p>
    <w:p>
      <w:pPr>
        <w:pStyle w:val="Heading3"/>
        <w:spacing w:lineRule="auto"/>
      </w:pPr>
      <w:r>
        <w:rPr/>
        <w:t xml:space="preserve">30:11-14</w:t>
      </w:r>
    </w:p>
    <w:p>
      <w:pPr>
        <w:spacing w:lineRule="auto"/>
      </w:pPr>
      <w:r>
        <w:rPr/>
        <w:t xml:space="preserve">Het gebod is niet te wonderbaar, niet ver, niet in de hemel, niet over zee — nabij, in mond en hart, ‘om het te doen’. Driemaal la’asoto (om te doen). 🟡 Tekstgetuige: 4QDeut-b/LXX voegen ‘en in uw handen’ toe — variant, versterkt de doen-kant.</w:t>
      </w:r>
    </w:p>
    <w:p>
      <w:pPr>
        <w:pStyle w:val="Heading3"/>
        <w:spacing w:lineRule="auto"/>
      </w:pPr>
      <w:r>
        <w:rPr/>
        <w:t xml:space="preserve">30:15-20</w:t>
      </w:r>
    </w:p>
    <w:p>
      <w:pPr>
        <w:spacing w:lineRule="auto"/>
      </w:pPr>
      <w:r>
        <w:rPr/>
        <w:t xml:space="preserve">‘Ik heb u het leven en het goede, de dood en het kwade voorgesteld… kíes het leven.’ 🟢 De keuze wordt bij de mens gelegd; hemel en aarde als getuigen.</w:t>
      </w:r>
    </w:p>
    <w:p>
      <w:pPr>
        <w:pStyle w:val="Heading3"/>
        <w:spacing w:lineRule="auto"/>
      </w:pPr>
      <w:r>
        <w:rPr/>
        <w:t xml:space="preserve">31:1-30 (Vayelecht)</w:t>
      </w:r>
    </w:p>
    <w:p>
      <w:pPr>
        <w:spacing w:lineRule="auto"/>
      </w:pPr>
      <w:r>
        <w:rPr/>
        <w:t xml:space="preserve">Mozes (120) draagt over aan Jozua (‘wees sterk en moedig’, 31:7); de Tora wordt geschreven en elke zeven jaar hardop voorgelezen aan héél het volk incl. kinderen en vreemdeling (31:11-12); de voorzegde afval; het lied en de Tora náást de ark, als getuige (31:19,26). 🟢 Overdracht en doorgave als eigen beweging.</w:t>
      </w:r>
    </w:p>
    <w:p>
      <w:pPr>
        <w:pStyle w:val="Heading2"/>
        <w:spacing w:lineRule="auto"/>
      </w:pPr>
      <w:r>
        <w:rPr/>
        <w:t xml:space="preserve">§3. Twee dragende assen</w:t>
      </w:r>
    </w:p>
    <w:p>
      <w:pPr>
        <w:pStyle w:val="Heading3"/>
        <w:spacing w:lineRule="auto"/>
      </w:pPr>
      <w:r>
        <w:rPr/>
        <w:t xml:space="preserve">Wil (dragend)</w:t>
      </w:r>
    </w:p>
    <w:p>
      <w:pPr>
        <w:spacing w:lineRule="auto"/>
      </w:pPr>
      <w:r>
        <w:rPr/>
        <w:t xml:space="preserve">Treden (29:11), terugkeren en doen (30:2), het nabije doen (30:11-14), kiezen (30:19), sterk zijn en overdragen (31:7), horen-leren-doen (31:12). Antwoord binnen bereik, geen zelfredzaamheid: het woord is náár je toe gebracht. Open anomalie: waar slaat ‘gekozen doen’ om in ‘eigen kracht’? (vgl. 8:17)</w:t>
      </w:r>
    </w:p>
    <w:p>
      <w:pPr>
        <w:pStyle w:val="Heading3"/>
        <w:spacing w:lineRule="auto"/>
      </w:pPr>
      <w:r>
        <w:rPr/>
        <w:t xml:space="preserve">Coherentie (dragend, tweede pool)</w:t>
      </w:r>
    </w:p>
    <w:p>
      <w:pPr>
        <w:spacing w:lineRule="auto"/>
      </w:pPr>
      <w:r>
        <w:rPr/>
        <w:t xml:space="preserve">Geen kloof tussen het verborgen hart en de openbare daad: de wortel van gif zit in het heimelijke zich-zegenen (29:18); de geopenbaarde kant is van óns om te doen (29:29); en het volk staat als één lichaam borg — arvut. Het lied als getuige (31:19) bewaakt juist de coherentie tussen belofte en toekomstige daad. Open anomalie: de nekudot op ‘voor ons en onze kinderen’ — de traditie zette een teken op juist deze doorgegeven verantwoordelijkheid; waarom?</w:t>
      </w:r>
    </w:p>
    <w:p>
      <w:pPr>
        <w:pStyle w:val="Heading3"/>
        <w:spacing w:lineRule="auto"/>
      </w:pPr>
      <w:r>
        <w:rPr/>
        <w:t xml:space="preserve">Bron en Traject (ondersteunend)</w:t>
      </w:r>
    </w:p>
    <w:p>
      <w:pPr>
        <w:spacing w:lineRule="auto"/>
      </w:pPr>
      <w:r>
        <w:rPr/>
        <w:t xml:space="preserve">Bron is reîel (30:3-6) maar draagt hier niet het gewicht; Traject (ballingschap→terugkeer, Mozes→Jozua, geslacht→geslacht) is stíjgend en voedt de ‘doorgeven’-kant, maar staat in dienst van Wil, niet als eigen kern.</w:t>
      </w:r>
    </w:p>
    <w:p>
      <w:pPr>
        <w:pStyle w:val="Heading2"/>
        <w:spacing w:lineRule="auto"/>
      </w:pPr>
      <w:r>
        <w:rPr/>
        <w:t xml:space="preserve">§4. Verdieping — de bronnenronde</w:t>
      </w:r>
    </w:p>
    <w:p>
      <w:pPr>
        <w:spacing w:lineRule="auto"/>
      </w:pPr>
      <w:r>
        <w:rPr/>
        <w:t xml:space="preserve">Volgorde gevolgd; opbrengst per getuige beknopt.</w:t>
      </w:r>
    </w:p>
    <w:p>
      <w:pPr>
        <w:spacing w:lineRule="auto"/>
      </w:pPr>
      <w:r>
        <w:rPr>
          <w:b/>
        </w:rPr>
        <w:t xml:space="preserve">Van de Giessen 🟢 —</w:t>
      </w:r>
      <w:r>
        <w:rPr/>
        <w:t xml:space="preserve"> (1) nekudot / puncta extraordinaria op lanoe oelevaneinoe (29:29 / MT 29:28); functie vermoedelijk: onzekere letters markeren (Qumran-gebruik). (2) 30:14: 4QDeut-b en LXX lezen een plus, ‘en in uw hánden, om het te doen’. Beide verzen sluiten met setumah. → De tekstuele grond versterkt de handelings-kant nog vóór enige duiding.</w:t>
      </w:r>
    </w:p>
    <w:p>
      <w:pPr>
        <w:spacing w:lineRule="auto"/>
      </w:pPr>
      <w:r>
        <w:rPr>
          <w:b/>
        </w:rPr>
        <w:t xml:space="preserve">Onkelos —</w:t>
      </w:r>
      <w:r>
        <w:rPr/>
        <w:t xml:space="preserve"> nog niet geverifieerd; open verificatiepunt (Sefaria). ⚪</w:t>
      </w:r>
    </w:p>
    <w:p>
      <w:pPr>
        <w:spacing w:lineRule="auto"/>
      </w:pPr>
      <w:r>
        <w:rPr>
          <w:b/>
        </w:rPr>
        <w:t xml:space="preserve">Rasji 🟢 —</w:t>
      </w:r>
      <w:r>
        <w:rPr/>
        <w:t xml:space="preserve"> 30:12: wás het in de hemel, dan bleef het je plicht erachteraan te gaan en te leren (bereikbaarheid = grond voor inspanning). 29:29: verborgen = privé-gedrag (niet onze verantwoordelijkheid), geopenbaard = wél; de stippen kwalificeren die collectieve plicht (pas bindend ná de Jordaan) — hier hangt kol Jisraël arevim aan.</w:t>
      </w:r>
    </w:p>
    <w:p>
      <w:pPr>
        <w:spacing w:lineRule="auto"/>
      </w:pPr>
      <w:r>
        <w:rPr>
          <w:b/>
        </w:rPr>
        <w:t xml:space="preserve">Ibn Ezra 🟢 (rem) —</w:t>
      </w:r>
      <w:r>
        <w:rPr/>
        <w:t xml:space="preserve"> ‘niet in de hemel’ werkt enkel ‘te wonderbaar’ (vs.11) uit: níet-onbereikbaar, grammaticaal. Snoeit de over-vrome lezing weg.</w:t>
      </w:r>
    </w:p>
    <w:p>
      <w:pPr>
        <w:spacing w:lineRule="auto"/>
      </w:pPr>
      <w:r>
        <w:rPr>
          <w:b/>
        </w:rPr>
        <w:t xml:space="preserve">Ramban 🟢 (samenhang) —</w:t>
      </w:r>
      <w:r>
        <w:rPr/>
        <w:t xml:space="preserve"> het nabije gebod = tesjoewa: terugkeer is niet ver, geen profeet of verre wijzen voor nodig, dóenlijk zelfs in ballingschap. Divergentie met Rasji (hele Tora vs. terugkeer) — beide landen op menselijk kúnnen.</w:t>
      </w:r>
    </w:p>
    <w:p>
      <w:pPr>
        <w:spacing w:lineRule="auto"/>
      </w:pPr>
      <w:r>
        <w:rPr>
          <w:b/>
        </w:rPr>
        <w:t xml:space="preserve">Midrasj / aggada 🟡 —</w:t>
      </w:r>
      <w:r>
        <w:rPr/>
        <w:t xml:space="preserve"> lo basjamajim hi: de Tora is aan de mens overgedragen; zelfs een Stem uit de hemel wordt overstemd (oven van Achnai). En op de stippen: Ezra houdt de onzekerheid eerlijk vast in plaats van haar weg te poetsen.</w:t>
      </w:r>
    </w:p>
    <w:p>
      <w:pPr>
        <w:spacing w:lineRule="auto"/>
      </w:pPr>
      <w:r>
        <w:rPr>
          <w:b/>
        </w:rPr>
        <w:t xml:space="preserve">Veranderde de ronde het zwaartepunt?</w:t>
      </w:r>
      <w:r>
        <w:rPr/>
        <w:t xml:space="preserve"> Ja. Van een Bron/ontvangen-landing naar Wil/Coherentie: het nabije woord is nabij om te dóen en dóor te geven. Elke getuige duwt dezelfde kant op; de reflex (30:6 als climax) is precies wat de bronnen tegenspreken.</w:t>
      </w:r>
    </w:p>
    <w:p>
      <w:pPr>
        <w:pStyle w:val="Heading2"/>
        <w:spacing w:lineRule="auto"/>
      </w:pPr>
      <w:r>
        <w:rPr/>
        <w:t xml:space="preserve">§5. Richtingstoets als horizon</w:t>
      </w:r>
    </w:p>
    <w:p>
      <w:pPr>
        <w:spacing w:lineRule="auto"/>
      </w:pPr>
      <w:r>
        <w:rPr/>
        <w:t xml:space="preserve">🔵 (belijdend, geen climax) Johannes 12:47-50 legt Yeshua’s láátste woord tot de menigte op wóórden die gedaan willen worden: ‘wie mijn woorden hoort en ze niet dóet…’ (12:47); ‘Ik heb niet uit Mijzelf gesproken; de Vader gaf Mij een gebod wat te zeggen’ (12:49-50). Het nabije-woord-om-te-doen, belichaamd — een Mond die ‘niet uit Zichzelf’ spreekt, precies het tegendeel van het heimelijke zich-zegenen van 29:18. Romeinen 10:6-8 (Paulus citeert 30:12-14) is de belijdende brug: het ‘woord nabij u’ wordt het woord van geloof — horizon, geweven, níet de peshat overschrijvend (de plain zin blijft: het gebod, om te doen). 🔴 12:48 (‘het woord zal oordelen’) blijft sober staan als ernst van het nabije woord, niet als triomf- of oordeelsclimax.</w:t>
      </w:r>
    </w:p>
    <w:p>
      <w:pPr>
        <w:pStyle w:val="Heading2"/>
        <w:spacing w:lineRule="auto"/>
      </w:pPr>
      <w:r>
        <w:rPr/>
        <w:t xml:space="preserve">§6. Statustabel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nabije woord is nabij ‘om te doen’ (3× la’asoto, 30:12-14); keuze bij de mens gelegd (30:19)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Coherentie verborgen ↔︎ openbaar; arvut; overdracht als eigen beweging (29:18,29; 31:7-12)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30:6 (God besnijdt het hart) draagt de Bron-pool — grond, niet climax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4QDeut-b/LXX ‘en in uw handen’; nekudot op ‘ons en onze kinderen’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suggestief / tekstvariant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 basjamajim hi / Achnai: Tora aan de mens overgedragen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illustratief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Reflex-landing op ontvangen/weerloosheid als climax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bewaking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nabije woord belichaamd in Yeshua (Joh. 12; Rom. 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belijdend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Onkelos-weergave 30:11-14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open verificatiepunt</w:t>
            </w:r>
          </w:p>
        </w:tc>
      </w:tr>
    </w:tbl>
    <w:p>
      <w:pPr>
        <w:spacing w:lineRule="auto"/>
      </w:pPr>
      <w:r>
        <w:rPr/>
      </w:r>
    </w:p>
    <w:p>
      <w:pPr>
        <w:pStyle w:val="Heading2"/>
        <w:spacing w:lineRule="auto"/>
      </w:pPr>
      <w:r>
        <w:rPr/>
        <w:t xml:space="preserve">§7. Podcast-vertaalslag</w:t>
      </w:r>
    </w:p>
    <w:p>
      <w:pPr>
        <w:spacing w:lineRule="auto"/>
      </w:pPr>
      <w:r>
        <w:rPr/>
        <w:t xml:space="preserve">Je kent het verschil tussen iets wat op de bovenste plank ligt — je moet er een trap voor halen, iemand vragen, erbij zien te komen — en iets wat al vóór je op het aanrecht ligt. God zegt hier niet: klim naar de hemel om mijn woord te halen. Hij zegt: het ligt al in je hand. In je mond, in je hart, in je handen. Wíj hoefden er niet naar boven voor; het is naar óns toe gebracht. Máár — en let op — nabij is niet hetzelfde als vrijblijvend. Wat in je hand ligt, vraagt dat je het dóet. En niet alleen jij: je legt het in de hand van je kind, zoals Mozes het in de hand van Jozua legde. Het is geen last die je alleen torst; het is genade die dóenlijk werd, en die je doorgeeft.</w:t>
      </w:r>
    </w:p>
    <w:p>
      <w:pPr>
        <w:pStyle w:val="Heading2"/>
        <w:spacing w:lineRule="auto"/>
      </w:pPr>
      <w:r>
        <w:rPr/>
        <w:t xml:space="preserve">§8. Bronverantwoording</w:t>
      </w:r>
    </w:p>
    <w:p>
      <w:pPr>
        <w:spacing w:lineRule="auto"/>
      </w:pPr>
      <w:r>
        <w:rPr/>
        <w:t xml:space="preserve">Van de Giessen, Aantekeningen bij Deuteronomium (projectbestand, hfdst. 29-30: nekudot 29:29 / MT 29:28; tekstvariant 4QDeut-b/LXX bij 30:14; setumot).</w:t>
      </w:r>
    </w:p>
    <w:p>
      <w:pPr>
        <w:spacing w:lineRule="auto"/>
      </w:pPr>
      <w:r>
        <w:rPr/>
        <w:t xml:space="preserve">Rasji op 30:12 en 29:29, Ramban en Ibn Ezra op 30:11-14 — geverifieerd via Sefaria.</w:t>
      </w:r>
    </w:p>
    <w:p>
      <w:pPr>
        <w:spacing w:lineRule="auto"/>
      </w:pPr>
      <w:r>
        <w:rPr/>
        <w:t xml:space="preserve">Aggada (lo basjamajim hi / oven van Achnai; nekudot-traditie) 🟡 via Sefaria.</w:t>
      </w:r>
    </w:p>
    <w:p>
      <w:pPr>
        <w:spacing w:lineRule="auto"/>
      </w:pPr>
      <w:r>
        <w:rPr/>
        <w:t xml:space="preserve">Onkelos: nog te verifiëren (⚪ open verificatiepunt). Naam: Yeshua.</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