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Studieblad</w:t>
      </w:r>
    </w:p>
    <w:p>
      <w:pPr>
        <w:pStyle w:val="Heading1"/>
        <w:spacing w:lineRule="auto"/>
      </w:pPr>
      <w:r>
        <w:rPr/>
        <w:t xml:space="preserve">Gerechtigheid najagen</w:t>
      </w:r>
    </w:p>
    <w:p>
      <w:pPr>
        <w:spacing w:lineRule="auto"/>
      </w:pPr>
      <w:r>
        <w:rPr>
          <w:b/>
        </w:rPr>
        <w:t xml:space="preserve">Tora:</w:t>
      </w:r>
      <w:r>
        <w:rPr/>
        <w:t xml:space="preserve"> Deuteronomium 16:18–21:9</w:t>
      </w:r>
    </w:p>
    <w:p>
      <w:pPr>
        <w:spacing w:lineRule="auto"/>
      </w:pPr>
      <w:r>
        <w:rPr/>
        <w:t xml:space="preserve">  ·  </w:t>
      </w:r>
    </w:p>
    <w:p>
      <w:pPr>
        <w:spacing w:lineRule="auto"/>
      </w:pPr>
      <w:r>
        <w:rPr>
          <w:b/>
        </w:rPr>
        <w:t xml:space="preserve">Haftara:</w:t>
      </w:r>
      <w:r>
        <w:rPr/>
        <w:t xml:space="preserve"> Jesaja 51:12–52:12</w:t>
      </w:r>
    </w:p>
    <w:p>
      <w:pPr>
        <w:spacing w:lineRule="auto"/>
      </w:pPr>
      <w:r>
        <w:rPr/>
        <w:t xml:space="preserve">  ·  </w:t>
      </w:r>
    </w:p>
    <w:p>
      <w:pPr>
        <w:spacing w:lineRule="auto"/>
      </w:pPr>
      <w:r>
        <w:rPr>
          <w:b/>
        </w:rPr>
        <w:t xml:space="preserve">Evangelie:</w:t>
      </w:r>
      <w:r>
        <w:rPr/>
        <w:t xml:space="preserve"> Johannes 14:9–20</w:t>
      </w:r>
    </w:p>
    <w:p>
      <w:pPr>
        <w:spacing w:lineRule="auto"/>
      </w:pPr>
      <w:r>
        <w:rPr/>
        <w:t xml:space="preserve">In Shoftim wordt alle gezag — rechter, koning, profeet, priester — door God gegeven, en juist daarom begrensd en toetsbaar. Rond het beeld van de koning die eigenhandig de Tora overschrijft, ‘opdat zijn hart zich niet verheft’, loopt de lezing naar een God die het leven beschermt tot in de oorlog toe, en naar Yeshua als het gezag dat ‘niet uit Zichzelf’ spreekt.</w:t>
      </w:r>
    </w:p>
    <w:p>
      <w:pPr>
        <w:spacing w:lineRule="auto"/>
      </w:pPr>
      <w:r>
        <w:rPr/>
        <w:t xml:space="preserve">Deze ronde legt de productie-volgorde vast: eerst waarnemen, dan de assen als open vraag, dan het zwaartepunt aflezen, en pas dan de draad. De richtingstoets is de horizon, niet het vertrekpunt.</w:t>
      </w:r>
    </w:p>
    <w:p>
      <w:pPr>
        <w:pStyle w:val="Heading3"/>
        <w:spacing w:lineRule="auto"/>
      </w:pPr>
      <w:r>
        <w:rPr/>
        <w:t xml:space="preserve">0.1 Blinde waarneming</w:t>
      </w:r>
    </w:p>
    <w:p>
      <w:pPr>
        <w:spacing w:lineRule="auto"/>
      </w:pPr>
      <w:r>
        <w:rPr/>
        <w:t xml:space="preserve">De parasja opent met een imperatief van instellingen: ‘Rechters en ambtenaren zult u aanstellen in al uw poorten’ (16:18), en meteen de luidste zin van het geheel: tzedek tzedek tirdof — ‘gerechtigheid, gerechtigheid zult gij najagen’ (16:20). Daarna, blok na blok, de dragers van gezag én hun grenzen: de rechter (geen omkoping, geen aanzien des persoons), de hoge rechtbank, de koning (die God kiest maar die geen paarden/vrouwen/goud vermeerdert en de Tora afschrijft), de priesters (wier erfdeel de HEERE is), het verbod op waarzeggerij, de profeet zoals Mozes met zijn toets, de vrijsteden, de getuigenregel en de evenredigheid, de oorlogswetten met hun uitzonderingen, en de onopgeloste moord waar de oudsten hun handen wassen. Doorlopende spanning: gezag dat geboden ís én streng begrensd wordt.</w:t>
      </w:r>
    </w:p>
    <w:p>
      <w:pPr>
        <w:pStyle w:val="Heading3"/>
        <w:spacing w:lineRule="auto"/>
      </w:pPr>
      <w:r>
        <w:rPr/>
        <w:t xml:space="preserve">0.2 De vier assen als open vraag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Wat de tekst naar boven brengt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Weging</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Bron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 legitimiteit van elk ambt komt van God: de koning díe Hij kiest (17:15), de profeet díe Hij verwekt (18:15), de priester wiens erfdeel Híj is (18:2). Onwettige bronnen worden afgewezen (waarzeggerij 18:10–14, de valse profeet 18:20).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Dominant.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Coherentie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 hele parasja is één stelsel van grénzen op macht: de koning verheft zijn hart niet (17:20), de profeet wórdt getoetst (18:22), twee getuigen niet één (19:15), evenredigheid (19:21), nauwkeurig onderzoek (17:4).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Dominant — grijpt in de Bron-as.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Aanwezig maar begrensd: gerechtigheid nájagen (16:20), instellingen opríchten (16:18), de handen wassen over onschuldig bloed (21:6).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Ondersteunend.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Traject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‘Wanneer u in het land komt’ (17:14); de toékomstige koning.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Reactiviteit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Mild: ‘niet zoals de volken’ die naar waarzeggers luisteren (18:9,14); de koning die ‘niet naar Egypte terugkeert’ (17:16).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Zwak; niet vooropgesteld.</w:t>
            </w:r>
          </w:p>
        </w:tc>
      </w:tr>
    </w:tbl>
    <w:p>
      <w:pPr>
        <w:spacing w:lineRule="auto"/>
      </w:pPr>
      <w:r>
        <w:rPr/>
      </w:r>
    </w:p>
    <w:p>
      <w:pPr>
        <w:pStyle w:val="Heading3"/>
        <w:spacing w:lineRule="auto"/>
      </w:pPr>
      <w:r>
        <w:rPr/>
        <w:t xml:space="preserve">0.3 Afgelezen zwaartepunt</w:t>
      </w:r>
    </w:p>
    <w:p>
      <w:pPr>
        <w:spacing w:lineRule="auto"/>
      </w:pPr>
      <w:r>
        <w:rPr/>
        <w:t xml:space="preserve">Afgelezen, niet gekozen: de parasja gaat over </w:t>
      </w:r>
      <w:r>
        <w:rPr>
          <w:b/>
        </w:rPr>
        <w:t xml:space="preserve">rechtvaardig, begrensd, legitiem gezag</w:t>
      </w:r>
      <w:r>
        <w:rPr/>
        <w:t xml:space="preserve"> — wie mag richten, regeren, spreken, en op wiens gezag; en dat élke macht onder God en Zijn Tora staat en aanspreekbaar blijft. De twee dragende assen zijn </w:t>
      </w:r>
      <w:r>
        <w:rPr>
          <w:b/>
        </w:rPr>
        <w:t xml:space="preserve">Bron</w:t>
      </w:r>
      <w:r>
        <w:rPr/>
        <w:t xml:space="preserve"> (alle gezag komt van God) en </w:t>
      </w:r>
      <w:r>
        <w:rPr>
          <w:b/>
        </w:rPr>
        <w:t xml:space="preserve">Coherentie</w:t>
      </w:r>
      <w:r>
        <w:rPr/>
        <w:t xml:space="preserve"> (en is daarom toetsbaar en begrensd). Ruggengraat: tzedek tzedek tirdof (16:20) en de koning-onder-de-Tora (17:18–20).</w:t>
      </w:r>
    </w:p>
    <w:p>
      <w:pPr>
        <w:pStyle w:val="Heading3"/>
        <w:spacing w:lineRule="auto"/>
      </w:pPr>
      <w:r>
        <w:rPr/>
        <w:t xml:space="preserve">0.4 Framing-toets</w:t>
      </w:r>
    </w:p>
    <w:p>
      <w:pPr>
        <w:spacing w:lineRule="auto"/>
      </w:pPr>
      <w:r>
        <w:rPr/>
        <w:t xml:space="preserve">Kwam dit uit de waarneming? Ja — de dichtheid is overweldigend (rechters, rechtbank, koning, priesters, profeet, getuigen, vrijsteden, oorlog, onopgeloste moord); het is bijna de hele parasja.</w:t>
      </w:r>
    </w:p>
    <w:p>
      <w:pPr>
        <w:spacing w:lineRule="auto"/>
      </w:pPr>
      <w:r>
        <w:rPr/>
        <w:t xml:space="preserve">Twee valkuilen, eerlijk benoemd. Eén: ik zou dit kunnen terugbuigen naar de richtingstrede (de valse profeet en ‘oprecht zult gij zijn’ gaan tenslotte over ontvangen tegenover gegrepen gezag) — máár dat zou de kern platmaken; de tekst drukt niet op de wéging maar op de strúctuur: hoe gezag wordt ingesteld én begrensd. Twee, belangrijker: vorige week (Re’eh) landde ik op de Bron–Wil-relatie; ik mag dat sjabloon nu niet opleggen. Getoetst: de tekst enscenéert de Bron–Coherentie-koppeling zélf — 17:18–20 bindt de bron (God kiest de koning) aan de grens (hij schrijft de Tora af), en 18:15–22 bindt de legitimiteit van de profeet (door God verwekt) aan de toets (komt het uit?). Het is waarneming, geen import.</w:t>
      </w:r>
    </w:p>
    <w:p>
      <w:pPr>
        <w:spacing w:lineRule="auto"/>
      </w:pPr>
      <w:r>
        <w:rPr/>
        <w:t xml:space="preserve">Uitkomst: het landt niet op de richtingstrede, en ook niet op Bron–Wil of vorige week — het landt op </w:t>
      </w:r>
      <w:r>
        <w:rPr>
          <w:b/>
        </w:rPr>
        <w:t xml:space="preserve">Bron–Coherentie</w:t>
      </w:r>
      <w:r>
        <w:rPr/>
        <w:t xml:space="preserve">. Dat de tekst me ergens ánders bracht, is het bewijs dat het protocol waarneemt en niet framet.</w:t>
      </w:r>
    </w:p>
    <w:p>
      <w:pPr>
        <w:pStyle w:val="Heading2"/>
        <w:spacing w:lineRule="auto"/>
      </w:pPr>
      <w:r>
        <w:rPr/>
        <w:t xml:space="preserve">§1. De draad</w:t>
      </w:r>
    </w:p>
    <w:p>
      <w:pPr>
        <w:spacing w:lineRule="auto"/>
      </w:pPr>
      <w:r>
        <w:rPr>
          <w:b/>
        </w:rPr>
        <w:t xml:space="preserve">Gerechtigheid najagen — gezag dat gegeven is, en juist daarom begrensd.</w:t>
      </w:r>
      <w:r>
        <w:rPr/>
        <w:t xml:space="preserve"> Alle macht in Shoftim is afgeleid (de koning, de profeet, de priester ontvangen hun plaats van God), en juist daarom is geen van alle absoluut: elk ambt staat onder de Tora en blijft toetsbaar en aanspreekbaar. De koning die zijn hart niet verheft en de profeet die getoetst wordt, zijn de scharnieren.</w:t>
      </w:r>
    </w:p>
    <w:p>
      <w:pPr>
        <w:pStyle w:val="Heading2"/>
        <w:spacing w:lineRule="auto"/>
      </w:pPr>
      <w:r>
        <w:rPr/>
        <w:t xml:space="preserve">§2. Peshat per blok</w:t>
      </w:r>
    </w:p>
    <w:p>
      <w:pPr>
        <w:pStyle w:val="Heading3"/>
        <w:spacing w:lineRule="auto"/>
      </w:pPr>
      <w:r>
        <w:rPr/>
        <w:t xml:space="preserve">2.1 Rechters en gerechtigheid (16:18–17:7)</w:t>
      </w:r>
    </w:p>
    <w:p>
      <w:pPr>
        <w:numPr>
          <w:ilvl w:val="0"/>
          <w:numId w:val="1"/>
        </w:numPr>
        <w:spacing w:lineRule="auto"/>
      </w:pPr>
      <w:r>
        <w:rPr/>
        <w:t xml:space="preserve">16:18–20 — rechters in de poorten; geen omkoping of aanzien des persoons; tzedek tzedek tirdof.</w:t>
      </w:r>
    </w:p>
    <w:p>
      <w:pPr>
        <w:numPr>
          <w:ilvl w:val="0"/>
          <w:numId w:val="1"/>
        </w:numPr>
        <w:spacing w:lineRule="auto"/>
      </w:pPr>
      <w:r>
        <w:rPr/>
        <w:t xml:space="preserve">17:2–7 — afgoderij wordt nauwkeurig onderzocht en vereist twee of drie getuigen.</w:t>
      </w:r>
    </w:p>
    <w:p>
      <w:pPr>
        <w:pStyle w:val="Heading3"/>
        <w:spacing w:lineRule="auto"/>
      </w:pPr>
      <w:r>
        <w:rPr/>
        <w:t xml:space="preserve">2.2 De hoge rechtbank (17:8–13)</w:t>
      </w:r>
    </w:p>
    <w:p>
      <w:pPr>
        <w:numPr>
          <w:ilvl w:val="0"/>
          <w:numId w:val="2"/>
        </w:numPr>
        <w:spacing w:lineRule="auto"/>
      </w:pPr>
      <w:r>
        <w:rPr/>
        <w:t xml:space="preserve">Te moeilijke zaken gaan naar de plaats die de HEERE kiest, naar de priesters en de rechter; hun uitspraak is bindend.</w:t>
      </w:r>
    </w:p>
    <w:p>
      <w:pPr>
        <w:pStyle w:val="Heading3"/>
        <w:spacing w:lineRule="auto"/>
      </w:pPr>
      <w:r>
        <w:rPr/>
        <w:t xml:space="preserve">2.3 De koning (17:14–20)</w:t>
      </w:r>
    </w:p>
    <w:p>
      <w:pPr>
        <w:numPr>
          <w:ilvl w:val="0"/>
          <w:numId w:val="3"/>
        </w:numPr>
        <w:spacing w:lineRule="auto"/>
      </w:pPr>
      <w:r>
        <w:rPr/>
        <w:t xml:space="preserve">God kiest hem, uit je broeders; hij vermeerdert geen paarden (geen terugkeer naar Egypte), vrouwen of goud.</w:t>
      </w:r>
    </w:p>
    <w:p>
      <w:pPr>
        <w:numPr>
          <w:ilvl w:val="0"/>
          <w:numId w:val="3"/>
        </w:numPr>
        <w:spacing w:lineRule="auto"/>
      </w:pPr>
      <w:r>
        <w:rPr/>
        <w:t xml:space="preserve">17:18–20 — hij schrijft eigenhandig deze Tora af en leest er levenslang in, </w:t>
      </w:r>
      <w:r>
        <w:rPr/>
        <w:t xml:space="preserve">‘opdat zijn hart zich niet verheft boven zijn broeders’</w:t>
      </w:r>
      <w:r>
        <w:rPr/>
        <w:t xml:space="preserve">. Het scharnier van de hele parasja: gezag onder het Woord.</w:t>
      </w:r>
    </w:p>
    <w:p>
      <w:pPr>
        <w:pStyle w:val="Heading3"/>
        <w:spacing w:lineRule="auto"/>
      </w:pPr>
      <w:r>
        <w:rPr/>
        <w:t xml:space="preserve">2.4 Priesters en Levieten (18:1–8)</w:t>
      </w:r>
    </w:p>
    <w:p>
      <w:pPr>
        <w:numPr>
          <w:ilvl w:val="0"/>
          <w:numId w:val="4"/>
        </w:numPr>
        <w:spacing w:lineRule="auto"/>
      </w:pPr>
      <w:r>
        <w:rPr/>
        <w:t xml:space="preserve">Zij hebben geen erfdeel; de HEERE zelf is hun erfdeel. Hun draagkracht ligt in God, niet in bezit.</w:t>
      </w:r>
    </w:p>
    <w:p>
      <w:pPr>
        <w:pStyle w:val="Heading3"/>
        <w:spacing w:lineRule="auto"/>
      </w:pPr>
      <w:r>
        <w:rPr/>
        <w:t xml:space="preserve">2.5 Geen waarzeggerij; oprechtheid (18:9–14)</w:t>
      </w:r>
    </w:p>
    <w:p>
      <w:pPr>
        <w:numPr>
          <w:ilvl w:val="0"/>
          <w:numId w:val="5"/>
        </w:numPr>
        <w:spacing w:lineRule="auto"/>
      </w:pPr>
      <w:r>
        <w:rPr/>
        <w:t xml:space="preserve">Niet doen zoals de volken (waarzeggerij, wichelarij, dodenbezwering); </w:t>
      </w:r>
      <w:r>
        <w:rPr/>
        <w:t xml:space="preserve">‘oprecht (tamim) zult gij zijn voor de HEERE, uw God’</w:t>
      </w:r>
      <w:r>
        <w:rPr/>
        <w:t xml:space="preserve"> (18:13).</w:t>
      </w:r>
    </w:p>
    <w:p>
      <w:pPr>
        <w:numPr>
          <w:ilvl w:val="0"/>
          <w:numId w:val="5"/>
        </w:numPr>
        <w:spacing w:lineRule="auto"/>
      </w:pPr>
      <w:r>
        <w:rPr/>
        <w:t xml:space="preserve">Weegkader (toepassing, geen peshat-dwang): het onderscheid ligt niet in de hándeling maar in de gerichtheid — op God, of op het zelf. Belichaamde en creatieve gaven (schrijven dat heelt, muziek, beweging, adem) zijn op zichzelf goed; het gaat mis waar het zelf het middelpunt wordt. God is de bedding die draagt; Hij maakte het lichaam om Hem te dienen.</w:t>
      </w:r>
    </w:p>
    <w:p>
      <w:pPr>
        <w:pStyle w:val="Heading3"/>
        <w:spacing w:lineRule="auto"/>
      </w:pPr>
      <w:r>
        <w:rPr/>
        <w:t xml:space="preserve">2.6 De profeet zoals Mozes (18:15–22)</w:t>
      </w:r>
    </w:p>
    <w:p>
      <w:pPr>
        <w:numPr>
          <w:ilvl w:val="0"/>
          <w:numId w:val="6"/>
        </w:numPr>
        <w:spacing w:lineRule="auto"/>
      </w:pPr>
      <w:r>
        <w:rPr/>
        <w:t xml:space="preserve">God verwekt een profeet zoals Mozes, naar wie geluisterd moet worden (18:15). De toets: </w:t>
      </w:r>
      <w:r>
        <w:rPr/>
        <w:t xml:space="preserve">‘komt het woord niet uit, dan heeft de HEERE dat niet gesproken’</w:t>
      </w:r>
      <w:r>
        <w:rPr/>
        <w:t xml:space="preserve"> (18:22). Legitiem én toetsbaar.</w:t>
      </w:r>
    </w:p>
    <w:p>
      <w:pPr>
        <w:pStyle w:val="Heading3"/>
        <w:spacing w:lineRule="auto"/>
      </w:pPr>
      <w:r>
        <w:rPr/>
        <w:t xml:space="preserve">2.7 Vrijsteden, grenssteen, getuigen (19)</w:t>
      </w:r>
    </w:p>
    <w:p>
      <w:pPr>
        <w:numPr>
          <w:ilvl w:val="0"/>
          <w:numId w:val="7"/>
        </w:numPr>
        <w:spacing w:lineRule="auto"/>
      </w:pPr>
      <w:r>
        <w:rPr/>
        <w:t xml:space="preserve">Vrijsteden voor de onopzettelijke doodslag; geen grenssteen verleggen (19:14); één getuige is niet genoeg (19:15); de valse getuige krijgt wat hij de ander wilde aandoen; evenredigheid (19:21).</w:t>
      </w:r>
    </w:p>
    <w:p>
      <w:pPr>
        <w:pStyle w:val="Heading3"/>
        <w:spacing w:lineRule="auto"/>
      </w:pPr>
      <w:r>
        <w:rPr/>
        <w:t xml:space="preserve">2.8 Oorlogswetten (20)</w:t>
      </w:r>
    </w:p>
    <w:p>
      <w:pPr>
        <w:numPr>
          <w:ilvl w:val="0"/>
          <w:numId w:val="8"/>
        </w:numPr>
        <w:spacing w:lineRule="auto"/>
      </w:pPr>
      <w:r>
        <w:rPr/>
        <w:t xml:space="preserve">De priester bemoedigt; vrijstellingen (nieuw huis, wijngaard, verloofde, wie bang is); eerst vredesaanbod; en het spaar-de-vruchtboom-gebod (20:19–20).</w:t>
      </w:r>
    </w:p>
    <w:p>
      <w:pPr>
        <w:numPr>
          <w:ilvl w:val="0"/>
          <w:numId w:val="8"/>
        </w:numPr>
        <w:spacing w:lineRule="auto"/>
      </w:pPr>
      <w:r>
        <w:rPr/>
        <w:t xml:space="preserve">De vrijstellingen en de gespaarde vruchtboom beschermen het léven en de continuïteit, zelfs in de oorlog — rentmeesterschap: het landschap is geen vijand. Vgl. het land in bruikleen (Lev. 25:23) en de wijngaard-lijn Eden → Jes. 5 → Joh. 15.</w:t>
      </w:r>
    </w:p>
    <w:p>
      <w:pPr>
        <w:pStyle w:val="Heading3"/>
        <w:spacing w:lineRule="auto"/>
      </w:pPr>
      <w:r>
        <w:rPr/>
        <w:t xml:space="preserve">2.9 De onopgeloste moord (21:1–9)</w:t>
      </w:r>
    </w:p>
    <w:p>
      <w:pPr>
        <w:numPr>
          <w:ilvl w:val="0"/>
          <w:numId w:val="9"/>
        </w:numPr>
        <w:spacing w:lineRule="auto"/>
      </w:pPr>
      <w:r>
        <w:rPr/>
        <w:t xml:space="preserve">De oudsten van de dichtstbijzijnde stad wassen hun handen: </w:t>
      </w:r>
      <w:r>
        <w:rPr/>
        <w:t xml:space="preserve">‘onze handen hebben dit bloed niet vergoten’</w:t>
      </w:r>
      <w:r>
        <w:rPr/>
        <w:t xml:space="preserve"> (21:7), en doen verzoening voor onschuldig bloed.</w:t>
      </w:r>
    </w:p>
    <w:p>
      <w:pPr>
        <w:pStyle w:val="Heading3"/>
        <w:spacing w:lineRule="auto"/>
      </w:pPr>
      <w:r>
        <w:rPr/>
        <w:t xml:space="preserve">2.10 Haftara — Jesaja 51:12–52:12</w:t>
      </w:r>
    </w:p>
    <w:p>
      <w:pPr>
        <w:numPr>
          <w:ilvl w:val="0"/>
          <w:numId w:val="10"/>
        </w:numPr>
        <w:spacing w:lineRule="auto"/>
      </w:pPr>
      <w:r>
        <w:rPr/>
        <w:t xml:space="preserve">Derde troostwoord: ‘Ik, Ik ben het die u troost’ (51:12); de wachters op de muren; </w:t>
      </w:r>
      <w:r>
        <w:rPr/>
        <w:t xml:space="preserve">‘uw God regeert’</w:t>
      </w:r>
      <w:r>
        <w:rPr/>
        <w:t xml:space="preserve"> (52:7); ontwaak, ontwaak; en de uittocht-taal (52:11–12). Alle menselijke ambten worden gegrond in Gods eigen koningschap.</w:t>
      </w:r>
    </w:p>
    <w:p>
      <w:pPr>
        <w:pStyle w:val="Heading3"/>
        <w:spacing w:lineRule="auto"/>
      </w:pPr>
      <w:r>
        <w:rPr/>
        <w:t xml:space="preserve">2.11 Evangelie — Johannes 14:9–20</w:t>
      </w:r>
    </w:p>
    <w:p>
      <w:pPr>
        <w:numPr>
          <w:ilvl w:val="0"/>
          <w:numId w:val="11"/>
        </w:numPr>
        <w:spacing w:lineRule="auto"/>
      </w:pPr>
      <w:r>
        <w:rPr/>
        <w:t xml:space="preserve">14:9 ‘wie Mij gezien heeft, heeft de Vader gezien’; </w:t>
      </w:r>
      <w:r>
        <w:rPr/>
        <w:t xml:space="preserve">14:10 ‘de woorden die Ik tot u spreek, spreek Ik niet uit Mijzelf; de Vader die in Mij blijft, doet de werken’</w:t>
      </w:r>
      <w:r>
        <w:rPr/>
        <w:t xml:space="preserve">; 14:16–17 de belofte van de Trooster; 14:18 ‘Ik laat u niet als wezen achter’. Gezag dat volmaakt afgeleid is — en Yeshua as the prophet like Moses (18:15).</w:t>
      </w:r>
    </w:p>
    <w:p>
      <w:pPr>
        <w:pStyle w:val="Heading2"/>
        <w:spacing w:lineRule="auto"/>
      </w:pPr>
      <w:r>
        <w:rPr/>
        <w:t xml:space="preserve">§3. De twee dragende assen en hun relatie</w:t>
      </w:r>
    </w:p>
    <w:p>
      <w:pPr>
        <w:pStyle w:val="Heading3"/>
        <w:spacing w:lineRule="auto"/>
      </w:pPr>
      <w:r>
        <w:rPr/>
        <w:t xml:space="preserve">3.1 Bron — alle gezag is afgeleid</w:t>
      </w:r>
    </w:p>
    <w:p>
      <w:pPr>
        <w:spacing w:lineRule="auto"/>
      </w:pPr>
      <w:r>
        <w:rPr/>
        <w:t xml:space="preserve">De koning, de profeet, de priester: geen van hen ontleent zijn plaats aan zichzelf. God kiest, verwekt, stelt aan. En de onwettige bronnen (waarzeggerij, de aanmatigende profeet, andere goden) worden juist als bron verworpen. Legitimiteit is ontvangen, niet aangematigd.</w:t>
      </w:r>
    </w:p>
    <w:p>
      <w:pPr>
        <w:pStyle w:val="Heading3"/>
        <w:spacing w:lineRule="auto"/>
      </w:pPr>
      <w:r>
        <w:rPr/>
        <w:t xml:space="preserve">3.2 Coherentie — en juist daarom begrensd</w:t>
      </w:r>
    </w:p>
    <w:p>
      <w:pPr>
        <w:spacing w:lineRule="auto"/>
      </w:pPr>
      <w:r>
        <w:rPr/>
        <w:t xml:space="preserve">Omdat het gezag afgeleid is, is het niet absoluut. De koning verheft zijn hart niet en staat onder de Tora; de profeet wordt getoetst aan de uitkomst; het oordeel wordt begrensd door getuigen, onderzoek en evenredigheid. De macht blijft aanspreekbaar — corrigeerbaar.</w:t>
      </w:r>
    </w:p>
    <w:p>
      <w:pPr>
        <w:pStyle w:val="Heading3"/>
        <w:spacing w:lineRule="auto"/>
      </w:pPr>
      <w:r>
        <w:rPr/>
        <w:t xml:space="preserve">3.3 De relatie — drie scharnieren</w:t>
      </w:r>
    </w:p>
    <w:p>
      <w:pPr>
        <w:numPr>
          <w:ilvl w:val="0"/>
          <w:numId w:val="12"/>
        </w:numPr>
        <w:spacing w:lineRule="auto"/>
      </w:pPr>
      <w:r>
        <w:rPr/>
        <w:t xml:space="preserve">17:18–20 — God kiest de koning (Bron) én bindt hem aan het afschrijven en lezen van de Tora (Coherentie). Bron en grens in één wet.</w:t>
      </w:r>
    </w:p>
    <w:p>
      <w:pPr>
        <w:numPr>
          <w:ilvl w:val="0"/>
          <w:numId w:val="12"/>
        </w:numPr>
        <w:spacing w:lineRule="auto"/>
      </w:pPr>
      <w:r>
        <w:rPr/>
        <w:t xml:space="preserve">18:15–22 — God verwekt de profeet (Bron) én stelt de toets: komt het woord uit? (Coherentie).</w:t>
      </w:r>
    </w:p>
    <w:p>
      <w:pPr>
        <w:numPr>
          <w:ilvl w:val="0"/>
          <w:numId w:val="12"/>
        </w:numPr>
        <w:spacing w:lineRule="auto"/>
      </w:pPr>
      <w:r>
        <w:rPr/>
        <w:t xml:space="preserve">16:19–20 + 19:15–21 — gerechtigheid nájagen (16:20) door begrénsde procedure: getuigen, onderzoek, evenredigheid.</w:t>
      </w:r>
    </w:p>
    <w:p>
      <w:pPr>
        <w:spacing w:lineRule="auto"/>
      </w:pPr>
      <w:r>
        <w:rPr/>
        <w:t xml:space="preserve">Eerlijke grens: ook deze twee-assen-lezing kan tot een té nette synthese verleiden. De borging is dat 17:18–20 and 18:15–22 are structural hinges in the text itself, not brought by the reader.</w:t>
      </w:r>
    </w:p>
    <w:p>
      <w:pPr>
        <w:pStyle w:val="Heading2"/>
        <w:spacing w:lineRule="auto"/>
      </w:pPr>
      <w:r>
        <w:rPr/>
        <w:t xml:space="preserve">§4. Verdieping: de grens als dienst van de bron</w:t>
      </w:r>
    </w:p>
    <w:p>
      <w:pPr>
        <w:spacing w:lineRule="auto"/>
      </w:pPr>
      <w:r>
        <w:rPr/>
        <w:t xml:space="preserve">De vier paradigmagevallen tonen telkens dezelfde figuur: gezag dat gedrágen wordt door de grens die het aanvaardt. De koning die de Tora afschrijft, wordt niet minder koning maar meer — hij regeert als broeder onder broeders. De profeet die zich laat toetsen, wordt niet ontkracht maar geijkt. De rechter die twee getuigen eist en evenredig oordeelt, met rechtvaardigheid als horizon, wordt betrouwbaar. Zelfs in de oorlog blijft er een grens (de vruchtboom, 20:19), en zelfs bij een onopgeloste moord wordt de verantwoordelijkheid niet weggewuifd maar gedragen (21:6–7). De grens is hier geen inperking ván het gezag; ze is de vorm wáárin afgeleid gezag betrouwbaar wordt.</w:t>
      </w:r>
    </w:p>
    <w:p>
      <w:pPr>
        <w:pStyle w:val="Heading2"/>
        <w:spacing w:lineRule="auto"/>
      </w:pPr>
      <w:r>
        <w:rPr/>
        <w:t xml:space="preserve">§5. De richtingstoets als horizon</w:t>
      </w:r>
    </w:p>
    <w:p>
      <w:pPr>
        <w:spacing w:lineRule="auto"/>
      </w:pPr>
      <w:r>
        <w:rPr/>
        <w:t xml:space="preserve">Onder dit alles ligt de éne vraag — ontvangen of gegrepen — maar deze week is dat de grónd, niet het thema. Onwettig, zelf-aangematigd gezag (de aanmatigende profeet 18:20, de koning wiens hart zich verheft 17:20, de valse getuige 19:18) ís de gegrepen-vorm; ontvangen, verantwoord, toetsbaar gezag de ontvangen-vorm. De tekst drukte deze keer het hardst op de Bron–Coherentie-relatie; de richting is de bodem eronder. In het evangelie wordt die horizon zichtbaar: </w:t>
      </w:r>
      <w:r>
        <w:rPr/>
        <w:t xml:space="preserve">‘Ik spreek niet uit Mijzelf’</w:t>
      </w:r>
      <w:r>
        <w:rPr/>
        <w:t xml:space="preserve"> (Joh. 14:10) — het volmaakt ontvangen gezag.</w:t>
      </w:r>
    </w:p>
    <w:p>
      <w:pPr>
        <w:pStyle w:val="Heading2"/>
        <w:spacing w:lineRule="auto"/>
      </w:pPr>
      <w:r>
        <w:rPr/>
        <w:t xml:space="preserve">§6. Statustabel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Item</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Toelichting</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Dragend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Tzedek tzedek tirdof (16:20)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‘Gerechtigheid, gerechtigheid zult gij najagen’ — de ruggengraat: gerechtigheid als na te jagen doel, niet als bezit.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Dragend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 koning onder de Tora (17:18–20)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God kiest de koning én bindt hem: hij schrijft de Tora af en leest levenslang, ‘opdat zijn hart zich niet verheft boven zijn broeders’. Bron en grens in één wet.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Dragend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 profeet-toets (18:21–22)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‘Komt het woord niet uit, dan heeft de HEERE dat niet gesproken.’ Gezag legitiem én toetsbaar.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Dragend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Twee of drie getuigen (17:6; 19:15)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Geen veroordeling op één mond; de procedure begrenst het oordeel.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Dragend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Nauwkeurig onderzoek (17:4; 19:18)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‘Gij zult naarstig onderzoeken’ — de waarheid wordt gewogen vóór de sanctie.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Dragend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Evenredigheid (19:21)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‘Oog om oog’ als begrénzing van vergelding (niet méér), geen aansporing tot wraak.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Dragend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Priesters: de HEERE is hun erfdeel (18:1–2)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Hun draagkracht ligt niet in bezit of macht maar in God zelf.</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Dragend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‘Uw God regeert’ (Jes. 52:7)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Haftara: alle menselijke ambten zijn gegrond in Gods eigen koningschap.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Dragend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‘Ik spreek niet uit Mijzelf’ (Joh. 14:10)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Het gezag van de Zoon is volmaakt afgeleid: de Vader in Hem doet de werken. Directe belichaming van Bron–Coherentie.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Suggestief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Tamim / ‘oprecht zult gij zijn’ (18:13)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Heelheid/ongedeeldheid tegenover de waarzeggerij; suggestief motief, concordantie-item.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Suggestief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 vruchtboom sparen (20:19)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 het veld een mens?’ — grens zelfs in oorlog; homiletisch bruikbaar als beeld van begrensde macht.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Suggestief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 handen wassen (21:6–7)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‘Onze handen hebben dit bloed niet vergoten’ — collectieve verantwoordelijkheid; suggestief naar verzoening.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Suggestief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Vrijsteden (19:1–13)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Het schuilplaats-motief; buiten de kern van het zwaartepunt, als achtergrond markeren.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Bewaking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‘Oog om oog’ niet als wraak lezen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 formule begórent juist; niet als aansporing tot vergelding presenteren.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Bewaking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‘Niet zoals de volken’ (18:9)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Gericht tegen waarzeggerij als bron, niet als algemene veroordeling van volkeren.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Bewaking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 koning-wet niet anti-monarchaal absoluut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God stáát de koning toe (17:15) en begrenst hem; de tekst schaft het ambt niet af.</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Bewaking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Joh. 14:9–20 niet los van Israël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 Trooster-belofte en ‘Ik laat u niet als wezen achter’ (14:18) staan binnen het verbond, niet als vervanging ervan.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Belijdenis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 profeet zoals Mozes → Yeshua (18:15)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 de aangekondigde profeet zijn vervulling vindt in Yeshua (vgl. Hand. 3:22) is belijdende toepassing, geen exegetisch dwingend gegeven.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Belijdenis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‘Wie Mij gezien heeft’ (Joh. 14:9)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 Zoon toont de onzichtbare Bron; belijdend gelezen als het zichtbaar worden van het gezag achter alle ambten.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Belijdenis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Gezag ‘niet uit Zichzelf’ (Joh. 14:10)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Christologische vervulling van de Bron–Coherentie-figuur: volmaakt afgeleid, volmaakt gehoorzaam gezag.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Belijdenis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 wijngaard: Eden → Jes. 5 → Joh. 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 lijn van Gods hof (Gen. 2, ‘bewerken en bewaren’) via Israël als wijngaard (Jes. 5:7, waar God ‘recht en gerechtigheid’ zocht) naar Yeshua, de ware Wijnstok (Joh. 15). Belijdende lijn die het leven-motief van de parasja doortrekt.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Suggestief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Het land in bruikleen (Lev. 25:23)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‘Het land is van Mij; jullie zijn vreemdelingen en bijwoners’ — het land ontvangen, niet bezeten; homiletisch onder de ontvangen-grond, buiten de gelezen perikoop.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Suggestief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Oorlogswetten beschermen het leven (20:5–7, 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 vrijstellingen (nieuw huis, wijngaard, ondertrouw) en de gespaarde vruchtboom tonen een God van leven en rentmeesterschap, zelfs in de oorlog; suggestief-homiletisch motief.</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Suggestief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Gerichtheid als criterium (18:9–14)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Het onderscheid is niet de hándeling zelf maar de gerichtheid: op God, of op het zelf. Sluit aan op tamim (18:13) en op de ontvangen-grijpen-as; weegkader, geen peshat-dwang.</w:t>
            </w:r>
          </w:p>
        </w:tc>
      </w:tr>
    </w:tbl>
    <w:p>
      <w:pPr>
        <w:spacing w:lineRule="auto"/>
      </w:pPr>
      <w:r>
        <w:rPr/>
      </w:r>
    </w:p>
    <w:p>
      <w:pPr>
        <w:pStyle w:val="Heading2"/>
        <w:spacing w:lineRule="auto"/>
      </w:pPr>
      <w:r>
        <w:rPr/>
        <w:t xml:space="preserve">§7. Podcast-vertaalslag</w:t>
      </w:r>
    </w:p>
    <w:p>
      <w:pPr>
        <w:spacing w:lineRule="auto"/>
      </w:pPr>
      <w:r>
        <w:rPr/>
        <w:t xml:space="preserve">Kern in één zin: in Shoftim wordt alle macht — rechter, koning, profeet, priester — gegeven door God, en juist daarom begrensd; gezag dat zichzelf niet kan toetsen, is niet van Hem.</w:t>
      </w:r>
    </w:p>
    <w:p>
      <w:pPr>
        <w:spacing w:lineRule="auto"/>
      </w:pPr>
      <w:r>
        <w:rPr/>
        <w:t xml:space="preserve">Beeld: de koning die eigenhandig de Tora overschrijft — de machtigste man in het land, met het Woord op zijn schoot, opdat zijn hart zich niet verheft.</w:t>
      </w:r>
    </w:p>
    <w:p>
      <w:pPr>
        <w:spacing w:lineRule="auto"/>
      </w:pPr>
      <w:r>
        <w:rPr/>
        <w:t xml:space="preserve">Vraag om mee te nemen: welk gezag in mijn leven — ook dat van mijzelf — laat zich nog toetsen, en welk niet meer?</w:t>
      </w:r>
    </w:p>
    <w:p>
      <w:pPr>
        <w:pStyle w:val="Heading2"/>
        <w:spacing w:lineRule="auto"/>
      </w:pPr>
      <w:r>
        <w:rPr/>
        <w:t xml:space="preserve">§8. Bronverantwoording</w:t>
      </w:r>
    </w:p>
    <w:p>
      <w:pPr>
        <w:numPr>
          <w:ilvl w:val="0"/>
          <w:numId w:val="13"/>
        </w:numPr>
        <w:spacing w:lineRule="auto"/>
      </w:pPr>
      <w:r>
        <w:rPr/>
        <w:t xml:space="preserve">BHS, Deut. 16:18–21:9 — controlepunten: tzedek tzedek tirdof (16:20), de koningswet (17:18–20), de profeet-toets (18:22), tamim (18:13).</w:t>
      </w:r>
    </w:p>
    <w:p>
      <w:pPr>
        <w:numPr>
          <w:ilvl w:val="0"/>
          <w:numId w:val="13"/>
        </w:numPr>
        <w:spacing w:lineRule="auto"/>
      </w:pPr>
      <w:r>
        <w:rPr/>
        <w:t xml:space="preserve">BHS, Jes. 52:7 — controlepunt voor de haftara-kern.</w:t>
      </w:r>
    </w:p>
    <w:p>
      <w:pPr>
        <w:numPr>
          <w:ilvl w:val="0"/>
          <w:numId w:val="13"/>
        </w:numPr>
        <w:spacing w:lineRule="auto"/>
      </w:pPr>
      <w:r>
        <w:rPr/>
        <w:t xml:space="preserve">NA28, Joh. 14:9–10 — controlepunt voor het evangelie, belijdend gemarkeerd.</w:t>
      </w:r>
    </w:p>
    <w:p>
      <w:pPr>
        <w:numPr>
          <w:ilvl w:val="0"/>
          <w:numId w:val="13"/>
        </w:numPr>
        <w:spacing w:lineRule="auto"/>
      </w:pPr>
      <w:r>
        <w:rPr/>
        <w:t xml:space="preserve">Jes. 5:7, Lev. 25:23, Micha 4:4 en Joh. 15:1 — controlepunten voor het wijngaard/leven-motief, belijdend/suggestief gemarkeerd.</w:t>
      </w:r>
    </w:p>
    <w:p>
      <w:pPr>
        <w:numPr>
          <w:ilvl w:val="0"/>
          <w:numId w:val="13"/>
        </w:numPr>
        <w:spacing w:lineRule="auto"/>
      </w:pPr>
      <w:r>
        <w:rPr/>
        <w:t xml:space="preserve">De plaatsing van Joh. 14:9–20 als evangelielezing en de afbakening Jes. 51:12–52:12 (derde troost-sjabbat): liturgisch/redactioneel gegeven, als zodanig gemarkeerd.</w:t>
      </w:r>
    </w:p>
    <w:p>
      <w:pPr>
        <w:spacing w:lineRule="auto"/>
      </w:pPr>
      <w:r>
        <w:rPr/>
        <w:t xml:space="preserve">     parasja.nl — © Arie Alberts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2026-09-20T08:45:22.524Z</dcterms:created>
  <dcterms:modified xsi:type="dcterms:W3CDTF">2026-09-20T08:45:22.524Z</dcterms:modified>
</cp:coreProperties>
</file>