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werkblad-sukkot"/>
    <w:p>
      <w:pPr>
        <w:pStyle w:val="Heading1"/>
      </w:pPr>
      <w:r>
        <w:t xml:space="preserve">Werkblad — Sukkot</w:t>
      </w:r>
    </w:p>
    <w:p>
      <w:pPr>
        <w:pStyle w:val="FirstParagraph"/>
      </w:pPr>
      <w:r>
        <w:rPr>
          <w:iCs/>
          <w:i/>
        </w:rPr>
        <w:t xml:space="preserve">Bijlage A · Het Frame voor parasjastudie · Arie Alberts</w:t>
      </w:r>
    </w:p>
    <w:bookmarkStart w:id="20" w:name="zo-gebruik-je-dit-blad"/>
    <w:p>
      <w:pPr>
        <w:pStyle w:val="Heading2"/>
      </w:pPr>
      <w:r>
        <w:t xml:space="preserve">Zo gebruik je dit blad</w:t>
      </w:r>
    </w:p>
    <w:p>
      <w:pPr>
        <w:pStyle w:val="FirstParagraph"/>
      </w:pPr>
      <w:r>
        <w:t xml:space="preserve">Werk van boven naar beneden: eerst wáárnemen (A1), dan wégen (A2), dan diagnosticeren (A3), en pas dan samenvatten (A4). De richting — ontvangen of grijpen — is de horizon, niet het vertrekpunt.</w:t>
      </w:r>
    </w:p>
    <w:bookmarkEnd w:id="20"/>
    <w:bookmarkStart w:id="21" w:name="basisgegevens"/>
    <w:p>
      <w:pPr>
        <w:pStyle w:val="Heading2"/>
      </w:pPr>
      <w:r>
        <w:t xml:space="preserve">Basisgegevens</w:t>
      </w:r>
    </w:p>
    <w:p>
      <w:pPr>
        <w:pStyle w:val="FirstParagraph"/>
      </w:pPr>
      <w:r>
        <w:t xml:space="preserve">Parasja / afbakening: Sukkot — Leviticus 22:26–23:44. Haftara: Zacharia 14:1–21. Flanklezing en status: Lukas 2:1–20 — nieuwtestamentische spiegeling, belijdend gebruikt (niet als peshat). Doelgroep: studiegroep / gemeente.</w:t>
      </w:r>
    </w:p>
    <w:bookmarkEnd w:id="21"/>
    <w:bookmarkStart w:id="22" w:name="a1.-tekstblokken-en-peshat"/>
    <w:p>
      <w:pPr>
        <w:pStyle w:val="Heading2"/>
      </w:pPr>
      <w:r>
        <w:t xml:space="preserve">A1. Tekstblokken en peshat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Tekstblok</w:t>
            </w:r>
          </w:p>
        </w:tc>
        <w:tc>
          <w:tcPr/>
          <w:p>
            <w:pPr>
              <w:pStyle w:val="Compact"/>
              <w:jc w:val="left"/>
            </w:pPr>
            <w:r>
              <w:t xml:space="preserve">Wat staat er? (peshat)</w:t>
            </w:r>
          </w:p>
        </w:tc>
        <w:tc>
          <w:tcPr/>
          <w:p>
            <w:pPr>
              <w:pStyle w:val="Compact"/>
              <w:jc w:val="left"/>
            </w:pPr>
            <w:r>
              <w:t xml:space="preserve">Sleutelwoorden / contrast</w:t>
            </w:r>
          </w:p>
        </w:tc>
        <w:tc>
          <w:tcPr/>
          <w:p>
            <w:pPr>
              <w:pStyle w:val="Compact"/>
              <w:jc w:val="left"/>
            </w:pPr>
            <w:r>
              <w:t xml:space="preserve">Open vraag</w:t>
            </w:r>
          </w:p>
        </w:tc>
      </w:tr>
      <w:tr>
        <w:tc>
          <w:tcPr/>
          <w:p>
            <w:pPr>
              <w:pStyle w:val="Compact"/>
              <w:jc w:val="left"/>
            </w:pPr>
            <w:r>
              <w:t xml:space="preserve">Lev. 22:26–23:8</w:t>
            </w:r>
          </w:p>
        </w:tc>
        <w:tc>
          <w:tcPr/>
          <w:p>
            <w:pPr>
              <w:pStyle w:val="Compact"/>
              <w:jc w:val="left"/>
            </w:pPr>
            <w:r>
              <w:t xml:space="preserve">Heilig Mijn Naam; “Mijn feestdagen”; sabbat vooraan.</w:t>
            </w:r>
          </w:p>
        </w:tc>
        <w:tc>
          <w:tcPr/>
          <w:p>
            <w:pPr>
              <w:pStyle w:val="Compact"/>
              <w:jc w:val="left"/>
            </w:pPr>
            <w:r>
              <w:t xml:space="preserve">moadiem · sabbat</w:t>
            </w:r>
          </w:p>
        </w:tc>
        <w:tc>
          <w:tcPr/>
          <w:p>
            <w:pPr>
              <w:pStyle w:val="Compact"/>
              <w:jc w:val="left"/>
            </w:pPr>
            <w:r>
              <w:t xml:space="preserve">Van wie zijn de feesten?</w:t>
            </w:r>
          </w:p>
        </w:tc>
      </w:tr>
      <w:tr>
        <w:tc>
          <w:tcPr/>
          <w:p>
            <w:pPr>
              <w:pStyle w:val="Compact"/>
              <w:jc w:val="left"/>
            </w:pPr>
            <w:r>
              <w:t xml:space="preserve">Lev. 23:33–44</w:t>
            </w:r>
          </w:p>
        </w:tc>
        <w:tc>
          <w:tcPr/>
          <w:p>
            <w:pPr>
              <w:pStyle w:val="Compact"/>
              <w:jc w:val="left"/>
            </w:pPr>
            <w:r>
              <w:t xml:space="preserve">Sukkot ná Jom Kippur; vreugde; loof; wonen in hutten “opdat generaties weten”.</w:t>
            </w:r>
          </w:p>
        </w:tc>
        <w:tc>
          <w:tcPr/>
          <w:p>
            <w:pPr>
              <w:pStyle w:val="Compact"/>
              <w:jc w:val="left"/>
            </w:pPr>
            <w:r>
              <w:t xml:space="preserve">vreugde ná verzoening</w:t>
            </w:r>
          </w:p>
        </w:tc>
        <w:tc>
          <w:tcPr/>
          <w:p>
            <w:pPr>
              <w:pStyle w:val="Compact"/>
              <w:jc w:val="left"/>
            </w:pPr>
            <w:r>
              <w:t xml:space="preserve">Waren de hutten mensenwerk of Gods wolken?</w:t>
            </w:r>
          </w:p>
        </w:tc>
      </w:tr>
      <w:tr>
        <w:tc>
          <w:tcPr/>
          <w:p>
            <w:pPr>
              <w:pStyle w:val="Compact"/>
              <w:jc w:val="left"/>
            </w:pPr>
            <w:r>
              <w:t xml:space="preserve">Zach. 14:1–9</w:t>
            </w:r>
          </w:p>
        </w:tc>
        <w:tc>
          <w:tcPr/>
          <w:p>
            <w:pPr>
              <w:pStyle w:val="Compact"/>
              <w:jc w:val="left"/>
            </w:pPr>
            <w:r>
              <w:t xml:space="preserve">Strijd; God grijpt in; de HEERE Koning over heel de aarde.</w:t>
            </w:r>
          </w:p>
        </w:tc>
        <w:tc>
          <w:tcPr/>
          <w:p>
            <w:pPr>
              <w:pStyle w:val="Compact"/>
              <w:jc w:val="left"/>
            </w:pPr>
            <w:r>
              <w:t xml:space="preserve">oordeel → koningschap</w:t>
            </w:r>
          </w:p>
        </w:tc>
        <w:tc>
          <w:tcPr/>
          <w:p>
            <w:pPr>
              <w:pStyle w:val="Compact"/>
              <w:jc w:val="left"/>
            </w:pPr>
            <w:r>
              <w:t xml:space="preserve">Hoe wordt Sukkot een wereld-perspectief?</w:t>
            </w:r>
          </w:p>
        </w:tc>
      </w:tr>
      <w:tr>
        <w:tc>
          <w:tcPr/>
          <w:p>
            <w:pPr>
              <w:pStyle w:val="Compact"/>
              <w:jc w:val="left"/>
            </w:pPr>
            <w:r>
              <w:t xml:space="preserve">Zach. 14:16–21</w:t>
            </w:r>
          </w:p>
        </w:tc>
        <w:tc>
          <w:tcPr/>
          <w:p>
            <w:pPr>
              <w:pStyle w:val="Compact"/>
              <w:jc w:val="left"/>
            </w:pPr>
            <w:r>
              <w:t xml:space="preserve">De volken vieren Sukkot; levende wateren; heilig tot de kookpotten.</w:t>
            </w:r>
          </w:p>
        </w:tc>
        <w:tc>
          <w:tcPr/>
          <w:p>
            <w:pPr>
              <w:pStyle w:val="Compact"/>
              <w:jc w:val="left"/>
            </w:pPr>
            <w:r>
              <w:t xml:space="preserve">de volken · heilig/gewoon</w:t>
            </w:r>
          </w:p>
        </w:tc>
        <w:tc>
          <w:tcPr/>
          <w:p>
            <w:pPr>
              <w:pStyle w:val="Compact"/>
              <w:jc w:val="left"/>
            </w:pPr>
            <w:r>
              <w:t xml:space="preserve">Reikt de gave verder dan Israël?</w:t>
            </w:r>
          </w:p>
        </w:tc>
      </w:tr>
      <w:tr>
        <w:tc>
          <w:tcPr/>
          <w:p>
            <w:pPr>
              <w:pStyle w:val="Compact"/>
              <w:jc w:val="left"/>
            </w:pPr>
            <w:r>
              <w:t xml:space="preserve">Luk. 2:1–20</w:t>
            </w:r>
          </w:p>
        </w:tc>
        <w:tc>
          <w:tcPr/>
          <w:p>
            <w:pPr>
              <w:pStyle w:val="Compact"/>
              <w:jc w:val="left"/>
            </w:pPr>
            <w:r>
              <w:t xml:space="preserve">Geen plaats; kind in een voerbak; herders; grote blijdschap.</w:t>
            </w:r>
          </w:p>
        </w:tc>
        <w:tc>
          <w:tcPr/>
          <w:p>
            <w:pPr>
              <w:pStyle w:val="Compact"/>
              <w:jc w:val="left"/>
            </w:pPr>
            <w:r>
              <w:t xml:space="preserve">macht ↔ kwetsbaarheid</w:t>
            </w:r>
          </w:p>
        </w:tc>
        <w:tc>
          <w:tcPr/>
          <w:p>
            <w:pPr>
              <w:pStyle w:val="Compact"/>
              <w:jc w:val="left"/>
            </w:pPr>
            <w:r>
              <w:t xml:space="preserve">Wie is werkelijk Koning?</w:t>
            </w:r>
          </w:p>
        </w:tc>
      </w:tr>
    </w:tbl>
    <w:bookmarkEnd w:id="22"/>
    <w:bookmarkStart w:id="23" w:name="a2.-verbindende-hypotheses"/>
    <w:p>
      <w:pPr>
        <w:pStyle w:val="Heading2"/>
      </w:pPr>
      <w:r>
        <w:t xml:space="preserve">A2. Verbindende hypotheses</w:t>
      </w:r>
    </w:p>
    <w:p>
      <w:pPr>
        <w:pStyle w:val="FirstParagraph"/>
      </w:pPr>
      <w:r>
        <w:t xml:space="preserve">Hypothese 1 (één as): het zwaartepunt is Bron alleen — alles is gave, de mens ontvangt; de hut is louter afhankelijkheid.</w:t>
      </w:r>
    </w:p>
    <w:p>
      <w:pPr>
        <w:pStyle w:val="BodyText"/>
      </w:pPr>
      <w:r>
        <w:t xml:space="preserve">Hypothese 2 (relatie): het zwaartepunt is Bron ↔ Traject, met een Coherentie-scharnier — God draagt en komt wonen, het feest wijst vooruit naar koningschap en incarnatie, en de kwetsbare hut wordt een zichtbaar getuigenis dat tot de volken reikt.</w:t>
      </w:r>
    </w:p>
    <w:p>
      <w:pPr>
        <w:pStyle w:val="BodyText"/>
      </w:pPr>
      <w:r>
        <w:t xml:space="preserve">Welke verklaart de meeste gegevens met de minste dwang? Hypothese 2. Zij verklaart waarom Sukkot ná Jom Kippur komt, waarom Zacharia de volken erbij betrekt, en waarom Lukas de Koning kwetsbaar toont. Hypothese 1 laat Zacharia en Lukas los hangen.</w:t>
      </w:r>
    </w:p>
    <w:p>
      <w:pPr>
        <w:pStyle w:val="BodyText"/>
      </w:pPr>
      <w:r>
        <w:t xml:space="preserve">Wat zou deze lezing weerleggen? Als het feest geen wereld-horizon had (Zach.) en geen komst-van-de-Koning (Luk.), lag het gewicht bij Bron alleen.</w:t>
      </w:r>
    </w:p>
    <w:bookmarkEnd w:id="23"/>
    <w:bookmarkStart w:id="24" w:name="a3.-vier-assen"/>
    <w:p>
      <w:pPr>
        <w:pStyle w:val="Heading2"/>
      </w:pPr>
      <w:r>
        <w:t xml:space="preserve">A3. Vier assen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As</w:t>
            </w:r>
          </w:p>
        </w:tc>
        <w:tc>
          <w:tcPr/>
          <w:p>
            <w:pPr>
              <w:pStyle w:val="Compact"/>
              <w:jc w:val="left"/>
            </w:pPr>
            <w:r>
              <w:t xml:space="preserve">Tekstankers</w:t>
            </w:r>
          </w:p>
        </w:tc>
        <w:tc>
          <w:tcPr/>
          <w:p>
            <w:pPr>
              <w:pStyle w:val="Compact"/>
              <w:jc w:val="left"/>
            </w:pPr>
            <w:r>
              <w:t xml:space="preserve">Diagnose</w:t>
            </w:r>
          </w:p>
        </w:tc>
        <w:tc>
          <w:tcPr/>
          <w:p>
            <w:pPr>
              <w:pStyle w:val="Compact"/>
              <w:jc w:val="left"/>
            </w:pPr>
            <w:r>
              <w:t xml:space="preserve">Open anomalie</w:t>
            </w:r>
          </w:p>
        </w:tc>
      </w:tr>
      <w:tr>
        <w:tc>
          <w:tcPr/>
          <w:p>
            <w:pPr>
              <w:pStyle w:val="Compact"/>
              <w:jc w:val="left"/>
            </w:pPr>
            <w:r>
              <w:t xml:space="preserve">Bron</w:t>
            </w:r>
          </w:p>
        </w:tc>
        <w:tc>
          <w:tcPr/>
          <w:p>
            <w:pPr>
              <w:pStyle w:val="Compact"/>
              <w:jc w:val="left"/>
            </w:pPr>
            <w:r>
              <w:t xml:space="preserve">Lev. 23:43 · Zach. 14:8 · Luk. 2:11</w:t>
            </w:r>
          </w:p>
        </w:tc>
        <w:tc>
          <w:tcPr/>
          <w:p>
            <w:pPr>
              <w:pStyle w:val="Compact"/>
              <w:jc w:val="left"/>
            </w:pPr>
            <w:r>
              <w:t xml:space="preserve">Dragend. God draagt, bewaart, komt wonen.</w:t>
            </w:r>
          </w:p>
        </w:tc>
        <w:tc>
          <w:tcPr/>
          <w:p>
            <w:pPr>
              <w:pStyle w:val="Compact"/>
              <w:jc w:val="left"/>
            </w:pPr>
            <w:r>
              <w:t xml:space="preserve">Waarom via kwetsbaarheid?</w:t>
            </w:r>
          </w:p>
        </w:tc>
      </w:tr>
      <w:tr>
        <w:tc>
          <w:tcPr/>
          <w:p>
            <w:pPr>
              <w:pStyle w:val="Compact"/>
              <w:jc w:val="left"/>
            </w:pPr>
            <w:r>
              <w:t xml:space="preserve">Traject</w:t>
            </w:r>
          </w:p>
        </w:tc>
        <w:tc>
          <w:tcPr/>
          <w:p>
            <w:pPr>
              <w:pStyle w:val="Compact"/>
              <w:jc w:val="left"/>
            </w:pPr>
            <w:r>
              <w:t xml:space="preserve">Lev. 23 · Jom Kippur→Sukkot · Zach. 14:9 · Luk. 2</w:t>
            </w:r>
          </w:p>
        </w:tc>
        <w:tc>
          <w:tcPr/>
          <w:p>
            <w:pPr>
              <w:pStyle w:val="Compact"/>
              <w:jc w:val="left"/>
            </w:pPr>
            <w:r>
              <w:t xml:space="preserve">Dragend. Feestjaar en heilsgeschiedenis → koningschap, incarnatie.</w:t>
            </w:r>
          </w:p>
        </w:tc>
        <w:tc>
          <w:tcPr/>
          <w:p>
            <w:pPr>
              <w:pStyle w:val="Compact"/>
              <w:jc w:val="left"/>
            </w:pPr>
            <w:r>
              <w:t xml:space="preserve">Vooruitwijzing of kern?</w:t>
            </w:r>
          </w:p>
        </w:tc>
      </w:tr>
      <w:tr>
        <w:tc>
          <w:tcPr/>
          <w:p>
            <w:pPr>
              <w:pStyle w:val="Compact"/>
              <w:jc w:val="left"/>
            </w:pPr>
            <w:r>
              <w:t xml:space="preserve">Coherentie</w:t>
            </w:r>
          </w:p>
        </w:tc>
        <w:tc>
          <w:tcPr/>
          <w:p>
            <w:pPr>
              <w:pStyle w:val="Compact"/>
              <w:jc w:val="left"/>
            </w:pPr>
            <w:r>
              <w:t xml:space="preserve">Lev. 23:42 · Zach. 14:16 · Joh. 1:14</w:t>
            </w:r>
          </w:p>
        </w:tc>
        <w:tc>
          <w:tcPr/>
          <w:p>
            <w:pPr>
              <w:pStyle w:val="Compact"/>
              <w:jc w:val="left"/>
            </w:pPr>
            <w:r>
              <w:t xml:space="preserve">Scharnier. Afhankelijkheid ontvangen ↔ de hut als getuigenis, de volken.</w:t>
            </w:r>
          </w:p>
        </w:tc>
        <w:tc>
          <w:tcPr/>
          <w:p>
            <w:pPr>
              <w:pStyle w:val="Compact"/>
              <w:jc w:val="left"/>
            </w:pPr>
            <w:r>
              <w:t xml:space="preserve">Blijft “getuigen” stil?</w:t>
            </w:r>
          </w:p>
        </w:tc>
      </w:tr>
      <w:tr>
        <w:tc>
          <w:tcPr/>
          <w:p>
            <w:pPr>
              <w:pStyle w:val="Compact"/>
              <w:jc w:val="left"/>
            </w:pPr>
            <w:r>
              <w:t xml:space="preserve">Wil</w:t>
            </w:r>
          </w:p>
        </w:tc>
        <w:tc>
          <w:tcPr/>
          <w:p>
            <w:pPr>
              <w:pStyle w:val="Compact"/>
              <w:jc w:val="left"/>
            </w:pPr>
            <w:r>
              <w:t xml:space="preserve">Lev. 23:40 · uit het huis komen</w:t>
            </w:r>
          </w:p>
        </w:tc>
        <w:tc>
          <w:tcPr/>
          <w:p>
            <w:pPr>
              <w:pStyle w:val="Compact"/>
              <w:jc w:val="left"/>
            </w:pPr>
            <w:r>
              <w:t xml:space="preserve">Respons: uit het vaste huis komen, vreugde oefenen, ontvangen.</w:t>
            </w:r>
          </w:p>
        </w:tc>
        <w:tc>
          <w:tcPr/>
          <w:p>
            <w:pPr>
              <w:pStyle w:val="Compact"/>
              <w:jc w:val="left"/>
            </w:pPr>
            <w:r>
              <w:t xml:space="preserve">Waar wordt vreugde geforceerd?</w:t>
            </w:r>
          </w:p>
        </w:tc>
      </w:tr>
    </w:tbl>
    <w:bookmarkEnd w:id="24"/>
    <w:bookmarkStart w:id="25" w:name="a4.-beweging"/>
    <w:p>
      <w:pPr>
        <w:pStyle w:val="Heading2"/>
      </w:pPr>
      <w:r>
        <w:t xml:space="preserve">A4. Beweging</w:t>
      </w:r>
    </w:p>
    <w:p>
      <w:pPr>
        <w:pStyle w:val="FirstParagraph"/>
      </w:pPr>
      <w:r>
        <w:t xml:space="preserve">Wat wordt ontmaskerd? Het vertrouwen op wat wij gebouwd hebben alsof het ons draagt — de zegen die de plaats van de Gever inneemt; en de illusie dat wij leven (regen, oogst) kunnen ontvangen zonder de Levengever (Zach. 14:17).</w:t>
      </w:r>
    </w:p>
    <w:p>
      <w:pPr>
        <w:pStyle w:val="BodyText"/>
      </w:pPr>
      <w:r>
        <w:t xml:space="preserve">Welk kader zet de tekst ervoor in de plaats? Uit het vaste huis komen en wonen onder Zijn schaduw: Hij draagt door de woestijn, geeft de oogst, en komt — in de Messias — werkelijk bij Zijn volk wonen.</w:t>
      </w:r>
    </w:p>
    <w:p>
      <w:pPr>
        <w:pStyle w:val="BodyText"/>
      </w:pPr>
      <w:r>
        <w:t xml:space="preserve">Welke concrete respons en vorming volgen? Uit je zekerheid komen en ontvangen; vreugde oefenen ná verzoening; en de kwetsbare, gehoorzame hut láten getuigen — stil, zichtbaar — ook wanneer het gesprek voorbij is.</w:t>
      </w:r>
    </w:p>
    <w:p>
      <w:pPr>
        <w:pStyle w:val="BodyText"/>
      </w:pPr>
      <w:r>
        <w:rPr>
          <w:bCs/>
          <w:b/>
        </w:rPr>
        <w:t xml:space="preserve">Kernzin:</w:t>
      </w:r>
      <w:r>
        <w:t xml:space="preserve"> </w:t>
      </w:r>
      <w:r>
        <w:t xml:space="preserve">Kom uit je vaste huis en ga zitten onder Zijn schaduw — niet wat jij bouwde draagt je, maar Hij, en die kwetsbare hut wordt zelf een stil getuigenis.</w:t>
      </w:r>
    </w:p>
    <w:p>
      <w:pPr>
        <w:pStyle w:val="BodyText"/>
      </w:pPr>
      <w:r>
        <w:rPr>
          <w:bCs/>
          <w:b/>
        </w:rPr>
        <w:t xml:space="preserve">Horizon (grond, niet thema van de week):</w:t>
      </w:r>
      <w:r>
        <w:t xml:space="preserve"> </w:t>
      </w:r>
      <w:r>
        <w:t xml:space="preserve">“De HEERE zal Koning zijn over heel de aarde” (Zach. 14:9), en het Woord dat vlees werd en “onder ons woonde” (Joh. 1:14) — belijdende horizon, geen geboortedatum, geen etymologische sleutel.</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Arial" w:hAnsi="Arial"/>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2026-09-23T17:56:23Z</dcterms:created>
  <dcterms:modified xsi:type="dcterms:W3CDTF">2026-09-23T17:56:23Z</dcterms:modified>
</cp:coreProperties>
</file>

<file path=docProps/custom.xml><?xml version="1.0" encoding="utf-8"?>
<Properties xmlns="http://schemas.openxmlformats.org/officeDocument/2006/custom-properties" xmlns:vt="http://schemas.openxmlformats.org/officeDocument/2006/docPropsVTypes"/>
</file>