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STUDY SHEET — PARASHAH NITZAVIM/VAYELECH</w:t>
      </w:r>
    </w:p>
    <w:p>
      <w:pPr>
        <w:spacing w:after="20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Deuteronomy 29:10–31:30 · Haftarah: Isaiah 61:10–63:9 (seventh comfort sabbath) · Gospel: John 12:41–50 (confessional, not a peshat-determiner) · The Frame</w:t>
      </w:r>
    </w:p>
    <w:p>
      <w:pPr>
        <w:pBdr>
          <w:bottom w:val="single" w:color="BBBBBB" w:sz="8" w:space="3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§0. Observation round</w:t>
      </w:r>
    </w:p>
    <w:p>
      <w:pPr>
        <w:spacing w:after="7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0.1 Blind observation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The text is full of verbs of stépping in, chóosing, dóing, pássing on. You all stand present today to enter ínto the covenant (29:10-12), álso on behalf of the one not yet here (29:14). There is a hidden figure: the root that bears ‘gall and wormwood’, the person who secretly blésses himself and yet walks his own way (29:17-18). After exile you retúrn and dó (30:1-2). The commandment is not too heavy, not far, not in heaven — ‘very nígh unto thee, in thy mouth and in thy heart, that thou mayest dó it’ (30:11-14). ‘Chóose life’ (30:19). And Vayelech: be strong, hánd it over to Joshua (31:7); read this Torah aloud every seven years — men, women, children, stranger — that they hear, learn and dó (31:11-12); the Torah and the song as witness (31:19,26).</w:t>
      </w:r>
    </w:p>
    <w:p>
      <w:pPr>
        <w:spacing w:after="7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0.2 The four axes as an open question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Where does the weight fall — on what God gives (Source), on what the human answers (Will), on the wholeness between hidden and open (Coherence), or on the movement through time (Trajectory)? I leave that open here and read it off only after the blocks.</w:t>
      </w:r>
    </w:p>
    <w:p>
      <w:pPr>
        <w:spacing w:after="7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0.3 Read-off center of gravity</w:t>
      </w:r>
    </w:p>
    <w:p>
      <w:pPr>
        <w:spacing w:after="100" w:line="264"/>
      </w:pPr>
      <w:r>
        <w:rPr>
          <w:rFonts w:ascii="Arial" w:cs="Arial" w:eastAsia="Arial" w:hAnsi="Arial"/>
          <w:sz w:val="20"/>
          <w:szCs w:val="20"/>
        </w:rPr>
        <w:t xml:space="preserve">🟢 </w:t>
      </w:r>
      <w:r>
        <w:rPr>
          <w:rFonts w:ascii="Arial" w:cs="Arial" w:eastAsia="Arial" w:hAnsi="Arial"/>
          <w:sz w:val="18"/>
          <w:szCs w:val="18"/>
        </w:rPr>
        <w:t xml:space="preserve">The rhetorical mass of the parashah (30:11-20 + all of Vayelech) lies on doing, choosing, handing on — not on receiving. The hinge with lást week makes it sharp: Ki Tavo ended on 29:4 (‘the LORD hath not given you an heart to perceive’), Nitzavim arrives at 30:14 (the word is alréady in your heart, to do). The same two verses, side by side, opposite emphasis. Thát is the turn: from the withheld heart to the acting heart.</w:t>
      </w:r>
    </w:p>
    <w:p>
      <w:pPr>
        <w:spacing w:after="7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0.4 Framing test</w:t>
      </w:r>
    </w:p>
    <w:p>
      <w:pPr>
        <w:spacing w:after="100" w:line="264"/>
      </w:pPr>
      <w:r>
        <w:rPr>
          <w:rFonts w:ascii="Arial" w:cs="Arial" w:eastAsia="Arial" w:hAnsi="Arial"/>
          <w:sz w:val="20"/>
          <w:szCs w:val="20"/>
        </w:rPr>
        <w:t xml:space="preserve">🔴 </w:t>
      </w:r>
      <w:r>
        <w:rPr>
          <w:rFonts w:ascii="Arial" w:cs="Arial" w:eastAsia="Arial" w:hAnsi="Arial"/>
          <w:sz w:val="18"/>
          <w:szCs w:val="18"/>
        </w:rPr>
        <w:t xml:space="preserve">The reflex puts the weight on receiving / defencelessness, and there is one verse that truly carries that reading: 30:6, ‘the LORD will circumcise thine heart to love Him.’ </w:t>
      </w:r>
      <w:r>
        <w:rPr>
          <w:rFonts w:ascii="Arial" w:cs="Arial" w:eastAsia="Arial" w:hAnsi="Arial"/>
          <w:sz w:val="20"/>
          <w:szCs w:val="20"/>
        </w:rPr>
        <w:t xml:space="preserve">🟢 </w:t>
      </w:r>
      <w:r>
        <w:rPr>
          <w:rFonts w:ascii="Arial" w:cs="Arial" w:eastAsia="Arial" w:hAnsi="Arial"/>
          <w:sz w:val="18"/>
          <w:szCs w:val="18"/>
        </w:rPr>
        <w:t xml:space="preserve">That verse is no subclause — it is the gróund. Bút the parashah does not set it as climax; it sets it as précondition: because the heart is freed and the word is bróught near, dóing is no longer an autonomous feat but a reachable answer. So the test does not pull ‘grace’ and ‘doing’ apart — it grounds the doing ín the given nearness. Whoever makes 30:6 the landing place and 30:11-20 a subclause imposes the template; the text turns it around. The tension 30:6 ↔ 30:14 remains an open anomaly, not smoothed over.</w:t>
      </w:r>
    </w:p>
    <w:p>
      <w:pPr>
        <w:pBdr>
          <w:bottom w:val="single" w:color="BBBBBB" w:sz="8" w:space="3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§1. The thread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The word is not far away and not in heaven — it is brought near, in your mouth and your heart, to dó it; and that done faithfulness is not private but pássed on: from ús to our children, from Moses to Joshua, from this generation to the next. The grace is that it has been made reachable; the calling is that you step in, choose and pass it on.</w:t>
      </w:r>
    </w:p>
    <w:p>
      <w:pPr>
        <w:pBdr>
          <w:bottom w:val="single" w:color="BBBBBB" w:sz="8" w:space="3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§2. Peshat per block</w:t>
      </w:r>
    </w:p>
    <w:p>
      <w:pPr>
        <w:spacing w:after="7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29:10-14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All stand present, from head to water-drawer, to enter ínto the covenant and its oath; God confirms them as a people — álso with the one ‘not here today’. </w:t>
      </w:r>
      <w:r>
        <w:rPr>
          <w:rFonts w:ascii="Arial" w:cs="Arial" w:eastAsia="Arial" w:hAnsi="Arial"/>
          <w:sz w:val="20"/>
          <w:szCs w:val="20"/>
        </w:rPr>
        <w:t xml:space="preserve">🟢 </w:t>
      </w:r>
      <w:r>
        <w:rPr>
          <w:rFonts w:ascii="Arial" w:cs="Arial" w:eastAsia="Arial" w:hAnsi="Arial"/>
          <w:sz w:val="18"/>
          <w:szCs w:val="18"/>
        </w:rPr>
        <w:t xml:space="preserve">Key: stepping in (actively entering), and the covenant reaching beyond the present generation.</w:t>
      </w:r>
    </w:p>
    <w:p>
      <w:pPr>
        <w:spacing w:after="7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29:15-28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Warning: the root bearing poison is the person who secretly blésses himself (29:18). Wrath, exile. Then 29:29 (MT 29:28): ‘the secret things belong to the LORD; the revealed to ús and our children, to dó them.’ </w:t>
      </w:r>
      <w:r>
        <w:rPr>
          <w:rFonts w:ascii="Arial" w:cs="Arial" w:eastAsia="Arial" w:hAnsi="Arial"/>
          <w:sz w:val="20"/>
          <w:szCs w:val="20"/>
        </w:rPr>
        <w:t xml:space="preserve">🟢 </w:t>
      </w:r>
      <w:r>
        <w:rPr>
          <w:rFonts w:ascii="Arial" w:cs="Arial" w:eastAsia="Arial" w:hAnsi="Arial"/>
          <w:sz w:val="18"/>
          <w:szCs w:val="18"/>
        </w:rPr>
        <w:t xml:space="preserve">Contrast hidden ↔ revealed; the revealed side is explicitly a dó-command.</w:t>
      </w:r>
    </w:p>
    <w:p>
      <w:pPr>
        <w:spacing w:after="7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30:1-10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After exile: return (teshuvah), God gathers, God circumcises the heart (30:6). </w:t>
      </w:r>
      <w:r>
        <w:rPr>
          <w:rFonts w:ascii="Arial" w:cs="Arial" w:eastAsia="Arial" w:hAnsi="Arial"/>
          <w:sz w:val="20"/>
          <w:szCs w:val="20"/>
        </w:rPr>
        <w:t xml:space="preserve">🟢 </w:t>
      </w:r>
      <w:r>
        <w:rPr>
          <w:rFonts w:ascii="Arial" w:cs="Arial" w:eastAsia="Arial" w:hAnsi="Arial"/>
          <w:sz w:val="18"/>
          <w:szCs w:val="18"/>
        </w:rPr>
        <w:t xml:space="preserve">Here is the Source pole: the restoration is God’s act, and the freed heart precedes the loving.</w:t>
      </w:r>
    </w:p>
    <w:p>
      <w:pPr>
        <w:spacing w:after="7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30:11-14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The commandment is not too wondrous, not far, not in heaven, not over the sea — near, in mouth and heart, ‘to do it’. Three times la’asoto (to do it). </w:t>
      </w:r>
      <w:r>
        <w:rPr>
          <w:rFonts w:ascii="Arial" w:cs="Arial" w:eastAsia="Arial" w:hAnsi="Arial"/>
          <w:sz w:val="20"/>
          <w:szCs w:val="20"/>
        </w:rPr>
        <w:t xml:space="preserve">🟡 </w:t>
      </w:r>
      <w:r>
        <w:rPr>
          <w:rFonts w:ascii="Arial" w:cs="Arial" w:eastAsia="Arial" w:hAnsi="Arial"/>
          <w:sz w:val="18"/>
          <w:szCs w:val="18"/>
        </w:rPr>
        <w:t xml:space="preserve">Textual witness: 4QDeut-b/LXX add ‘and in your hands’ — variant, strengthens the doing-side.</w:t>
      </w:r>
    </w:p>
    <w:p>
      <w:pPr>
        <w:spacing w:after="7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30:15-20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‘I have set before you life and good, death and evil… chóose life.’ </w:t>
      </w:r>
      <w:r>
        <w:rPr>
          <w:rFonts w:ascii="Arial" w:cs="Arial" w:eastAsia="Arial" w:hAnsi="Arial"/>
          <w:sz w:val="20"/>
          <w:szCs w:val="20"/>
        </w:rPr>
        <w:t xml:space="preserve">🟢 </w:t>
      </w:r>
      <w:r>
        <w:rPr>
          <w:rFonts w:ascii="Arial" w:cs="Arial" w:eastAsia="Arial" w:hAnsi="Arial"/>
          <w:sz w:val="18"/>
          <w:szCs w:val="18"/>
        </w:rPr>
        <w:t xml:space="preserve">The choice is laid with the human; heaven and earth as witnesses.</w:t>
      </w:r>
    </w:p>
    <w:p>
      <w:pPr>
        <w:spacing w:after="7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31:1-30 (Vayelech)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Moses (120) hands over to Joshua (‘be strong and of good courage’, 31:7); the Torah is written and read aloud every seven years to the whóle people incl. children and stranger (31:11-12); the foretold falling away; the song and the Torah besíde the ark, as witness (31:19,26). </w:t>
      </w:r>
      <w:r>
        <w:rPr>
          <w:rFonts w:ascii="Arial" w:cs="Arial" w:eastAsia="Arial" w:hAnsi="Arial"/>
          <w:sz w:val="20"/>
          <w:szCs w:val="20"/>
        </w:rPr>
        <w:t xml:space="preserve">🟢 </w:t>
      </w:r>
      <w:r>
        <w:rPr>
          <w:rFonts w:ascii="Arial" w:cs="Arial" w:eastAsia="Arial" w:hAnsi="Arial"/>
          <w:sz w:val="18"/>
          <w:szCs w:val="18"/>
        </w:rPr>
        <w:t xml:space="preserve">Handover and transmission as a movement of its own.</w:t>
      </w:r>
    </w:p>
    <w:p>
      <w:pPr>
        <w:pBdr>
          <w:bottom w:val="single" w:color="BBBBBB" w:sz="8" w:space="3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§3. The two bearing axes</w:t>
      </w:r>
    </w:p>
    <w:p>
      <w:pPr>
        <w:spacing w:after="7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Will (bearing)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Stepping in (29:11), returning and doing (30:2), the near doing (30:11-14), choosing (30:19), being strong and handing over (31:7), hearing-learning-doing (31:12). Answer within reach, not self-sufficiency: the word is brought tó you. Open anomaly: where does ‘chosen doing’ turn into ‘my own strength’? (cf. 8:17)</w:t>
      </w:r>
    </w:p>
    <w:p>
      <w:pPr>
        <w:spacing w:after="7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Coherence (bearing, second pole)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No gap between the hidden heart and the public deed: the root of poison lies in the secret self-blessing (29:18); the revealed side is óurs to do (29:29); and the people stand surety as one body — arvut. The song as witness (31:19) guards precisely the coherence between promise and future deed. Open anomaly: the nekudot on ‘for us and our children’ — tradition set a mark on exactly this passed-on responsibility; why?</w:t>
      </w:r>
    </w:p>
    <w:p>
      <w:pPr>
        <w:spacing w:after="7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Source and Trajectory (supporting)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Source is real (30:3-6) but does not carry the weight here; Trajectory (exile→return, Moses→Joshua, generation→generation) is rísing and feeds the ‘passing on’ side, but serves Will, not as a core of its own.</w:t>
      </w:r>
    </w:p>
    <w:p>
      <w:pPr>
        <w:pBdr>
          <w:bottom w:val="single" w:color="BBBBBB" w:sz="8" w:space="3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§4. Deepening — the sources round</w:t>
      </w:r>
    </w:p>
    <w:p>
      <w:pPr>
        <w:spacing w:after="100" w:line="264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Order followed; yield per witness kept brief.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Van de Giessen 🟢 — </w:t>
      </w:r>
      <w:r>
        <w:rPr>
          <w:rFonts w:ascii="Arial" w:cs="Arial" w:eastAsia="Arial" w:hAnsi="Arial"/>
          <w:sz w:val="18"/>
          <w:szCs w:val="18"/>
        </w:rPr>
        <w:t xml:space="preserve">(1) nekudot / puncta extraordinaria on lanu ulevaneinu (29:29 / MT 29:28); function probably: marking uncertain letters (Qumran usage). (2) 30:14: 4QDeut-b and LXX read a plus, ‘and in your hánds, to do it’. Both verses close with a setumah. → The textual ground strengthens the action-side even before any interpretation.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Onkelos — </w:t>
      </w:r>
      <w:r>
        <w:rPr>
          <w:rFonts w:ascii="Arial" w:cs="Arial" w:eastAsia="Arial" w:hAnsi="Arial"/>
          <w:sz w:val="18"/>
          <w:szCs w:val="18"/>
        </w:rPr>
        <w:t xml:space="preserve">not yet verified; open verification point (Sefaria). ⚪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Rashi 🟢 — </w:t>
      </w:r>
      <w:r>
        <w:rPr>
          <w:rFonts w:ascii="Arial" w:cs="Arial" w:eastAsia="Arial" w:hAnsi="Arial"/>
          <w:sz w:val="18"/>
          <w:szCs w:val="18"/>
        </w:rPr>
        <w:t xml:space="preserve">30:12: wére it in heaven, it would remain your duty to go up after it and learn (reachability = ground for effort). 29:29: hidden = private conduct (not our responsibility), revealed = indeed ours; the dots qualify that collective duty (binding only áfter the Jordan) — here kol Yisrael arevim hangs.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Ibn Ezra 🟢 (brake) — </w:t>
      </w:r>
      <w:r>
        <w:rPr>
          <w:rFonts w:ascii="Arial" w:cs="Arial" w:eastAsia="Arial" w:hAnsi="Arial"/>
          <w:sz w:val="18"/>
          <w:szCs w:val="18"/>
        </w:rPr>
        <w:t xml:space="preserve">‘not in heaven’ merely unfolds ‘too wondrous’ (v.11): nót-unreachable, grammatically. Prunes away the over-pious reading.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Ramban 🟢 (coherence) — </w:t>
      </w:r>
      <w:r>
        <w:rPr>
          <w:rFonts w:ascii="Arial" w:cs="Arial" w:eastAsia="Arial" w:hAnsi="Arial"/>
          <w:sz w:val="18"/>
          <w:szCs w:val="18"/>
        </w:rPr>
        <w:t xml:space="preserve">the near commandment = teshuvah: return is not far, needs no prophet or distant sages, do-able even in exile. Divergence with Rashi (whole Torah vs. return) — both land on human abilíty.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Midrash / aggadah 🟡 — </w:t>
      </w:r>
      <w:r>
        <w:rPr>
          <w:rFonts w:ascii="Arial" w:cs="Arial" w:eastAsia="Arial" w:hAnsi="Arial"/>
          <w:sz w:val="18"/>
          <w:szCs w:val="18"/>
        </w:rPr>
        <w:t xml:space="preserve">lo bashamayim hi: the Torah is handed over to the human; even a Voice from heaven is overruled (oven of Achnai). And on the dots: Ezra honestly holds the uncertainty rather than polishing it away.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Did the round shift the center of gravity? </w:t>
      </w:r>
      <w:r>
        <w:rPr>
          <w:rFonts w:ascii="Arial" w:cs="Arial" w:eastAsia="Arial" w:hAnsi="Arial"/>
          <w:sz w:val="18"/>
          <w:szCs w:val="18"/>
        </w:rPr>
        <w:t xml:space="preserve">Yes. From a Source / receiving landing to Will / Coherence: the near word is near to be dóne and pássed on. Every witness pushes the same way; the reflex (30:6 as climax) is exactly what the sources contradict.</w:t>
      </w:r>
    </w:p>
    <w:p>
      <w:pPr>
        <w:pBdr>
          <w:bottom w:val="single" w:color="BBBBBB" w:sz="8" w:space="3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§5. Directional test as horizon</w:t>
      </w:r>
    </w:p>
    <w:p>
      <w:pPr>
        <w:spacing w:after="100" w:line="264"/>
      </w:pPr>
      <w:r>
        <w:rPr>
          <w:rFonts w:ascii="Arial" w:cs="Arial" w:eastAsia="Arial" w:hAnsi="Arial"/>
          <w:sz w:val="20"/>
          <w:szCs w:val="20"/>
        </w:rPr>
        <w:t xml:space="preserve">🔵 </w:t>
      </w:r>
      <w:r>
        <w:rPr>
          <w:rFonts w:ascii="Arial" w:cs="Arial" w:eastAsia="Arial" w:hAnsi="Arial"/>
          <w:sz w:val="18"/>
          <w:szCs w:val="18"/>
        </w:rPr>
        <w:t xml:space="preserve">(confessional, no climax) John 12:47-50 puts Yeshua’s lást word to the crowd on wórds that want to be done: ‘if any man hear my words, and believe not…’ (12:47); ‘I have not spoken of myself; the Father gave me a commandment what to say’ (12:49-50). The near-word-to-do, embodied — a Mouth that speaks ‘not of Itself’, precisely the opposite of the secret self-blessing of 29:18. Romans 10:6-8 (Paul cites 30:12-14) is the confessional bridge: the ‘word nigh thee’ becomes the word of faith — horizon, woven, nót overriding the peshat (the plain sense stays: the commandment, to do it). </w:t>
      </w:r>
      <w:r>
        <w:rPr>
          <w:rFonts w:ascii="Arial" w:cs="Arial" w:eastAsia="Arial" w:hAnsi="Arial"/>
          <w:sz w:val="20"/>
          <w:szCs w:val="20"/>
        </w:rPr>
        <w:t xml:space="preserve">🔴 </w:t>
      </w:r>
      <w:r>
        <w:rPr>
          <w:rFonts w:ascii="Arial" w:cs="Arial" w:eastAsia="Arial" w:hAnsi="Arial"/>
          <w:sz w:val="18"/>
          <w:szCs w:val="18"/>
        </w:rPr>
        <w:t xml:space="preserve">12:48 (‘the word shall judge’) is kept sober as the seriousness of the near word, not as a triumph- or judgment-climax.</w:t>
      </w:r>
    </w:p>
    <w:p>
      <w:pPr>
        <w:pBdr>
          <w:bottom w:val="single" w:color="BBBBBB" w:sz="8" w:space="3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§6. Status table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6%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Claim</w:t>
            </w:r>
          </w:p>
        </w:tc>
        <w:tc>
          <w:tcPr>
            <w:tcW w:type="pct" w:w="24%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near word is near ‘to do it’ (3× la’asoto, 30:12-14); the choice laid with the human (30:19)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🟢 bearing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Coherence hidden ↔ revealed; arvut; handover as a movement of its own (29:18,29; 31:7-12)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🟢 bearing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30:6 (God circumcises the heart) carries the Source pole — ground, not climax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🟢 bearing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4QDeut-b/LXX ‘and in your hands’; nekudot on ‘us and our children’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🟡 suggestive / textual variant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 bashamayim hi / Achnai: Torah handed over to the human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🟡 illustrative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Reflex-landing on receiving / defencelessness as climax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🔴 watch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near word embodied in Yeshua (John 12; Rom. 10)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🔵 confession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Onkelos rendering of 30:11-14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⚪ open verification point</w:t>
            </w:r>
          </w:p>
        </w:tc>
      </w:tr>
    </w:tbl>
    <w:p>
      <w:pPr>
        <w:pBdr>
          <w:bottom w:val="single" w:color="BBBBBB" w:sz="8" w:space="3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§7. Podcast translation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You know the difference between something on the top shelf — you have to fetch a ladder, ask someone, reach for it — and something already in front of you on the countertop. God does not say here: climb to heaven to fetch my word. He says: it lies already in your hand. In your mouth, in your heart, in your hands. Wé did not have to go up for it; it was brought tó us. Bút — mark this — near is not the same as non-committal. What lies in your hand asks to be dóne. And not only you: you lay it in your child’s hand, as Moses laid it in Joshua’s hand. It is not a burden you carry alone; it is grace that became do-able, and that you pass on.</w:t>
      </w:r>
    </w:p>
    <w:p>
      <w:pPr>
        <w:pBdr>
          <w:bottom w:val="single" w:color="BBBBBB" w:sz="8" w:space="3"/>
        </w:pBdr>
        <w:spacing w:after="9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§8. Source accounting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Van de Giessen, Notes on Deuteronomy (project file, ch. 29-30: nekudot 29:29 / MT 29:28; textual variant 4QDeut-b/LXX at 30:14; setumot).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Rashi on 30:12 and 29:29, Ramban and Ibn Ezra on 30:11-14 — verified via Sefaria.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Aggadah (lo bashamayim hi / oven of Achnai; nekudot tradition) 🟡 via Sefaria.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Onkelos: still to be verified (⚪ open verification point). Name: Yeshua.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Sheet — Nitzavim/Vayelech</dc:title>
  <dc:creator>Arie Alberts</dc:creator>
  <cp:lastModifiedBy>Un-named</cp:lastModifiedBy>
  <cp:revision>1</cp:revision>
  <dcterms:created xsi:type="dcterms:W3CDTF">2026-09-03T06:42:21.382Z</dcterms:created>
  <dcterms:modified xsi:type="dcterms:W3CDTF">2026-09-03T06:42:21.384Z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