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WERKBLAD — PARASJA NITZAVIM/VAYELECH</w:t>
      </w:r>
    </w:p>
    <w:p>
      <w:pPr>
        <w:spacing w:after="20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Bijlage A (ingevuld) · Het Frame voor parasjastudie · een lesmiddel</w:t>
      </w:r>
    </w:p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Zo gebruik je dit blad</w:t>
      </w:r>
    </w:p>
    <w:p>
      <w:pPr>
        <w:spacing w:after="100" w:line="264"/>
      </w:pPr>
      <w:r>
        <w:rPr>
          <w:rFonts w:ascii="Arial" w:cs="Arial" w:eastAsia="Arial" w:hAnsi="Arial"/>
          <w:sz w:val="18"/>
          <w:szCs w:val="18"/>
        </w:rPr>
        <w:t xml:space="preserve">Werk van boven naar beneden: eerst wáárnemen (A1), dan wégen (A2), dan diagnosticeren (A3), en pas dan samenvatten (A4). De richting — ontvangen of grijpen — is de horizon, niet het vertrekpunt.</w:t>
      </w:r>
    </w:p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Basisgegevens</w:t>
      </w:r>
    </w:p>
    <w:p>
      <w:pPr>
        <w:spacing w:after="12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→ 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Vul eerst de basis in: welk gedeelte, welke haftara, een eventuele flanklezing met haar status, en voor wie je dit maakt.</w:t>
      </w:r>
    </w:p>
    <w:p>
      <w:pPr>
        <w:spacing w:after="70" w:line="25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Parasja / afbakening:  </w:t>
      </w:r>
      <w:r>
        <w:rPr>
          <w:rFonts w:ascii="Arial" w:cs="Arial" w:eastAsia="Arial" w:hAnsi="Arial"/>
          <w:sz w:val="20"/>
          <w:szCs w:val="20"/>
        </w:rPr>
        <w:t xml:space="preserve">Nitzavim/Vayelech — Deuteronomium 29:10–31:30</w:t>
      </w:r>
    </w:p>
    <w:p>
      <w:pPr>
        <w:spacing w:after="70" w:line="25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Haftara / rituele plaats:  </w:t>
      </w:r>
      <w:r>
        <w:rPr>
          <w:rFonts w:ascii="Arial" w:cs="Arial" w:eastAsia="Arial" w:hAnsi="Arial"/>
          <w:sz w:val="20"/>
          <w:szCs w:val="20"/>
        </w:rPr>
        <w:t xml:space="preserve">Jesaja 61:10–63:9 (zevende troost-sjabbat; sjeva de-nechemta)</w:t>
      </w:r>
    </w:p>
    <w:p>
      <w:pPr>
        <w:spacing w:after="70" w:line="25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Eventuele flanklezing en status:  </w:t>
      </w:r>
      <w:r>
        <w:rPr>
          <w:rFonts w:ascii="Arial" w:cs="Arial" w:eastAsia="Arial" w:hAnsi="Arial"/>
          <w:sz w:val="20"/>
          <w:szCs w:val="20"/>
        </w:rPr>
        <w:t xml:space="preserve">Johannes 12:41–50 — nieuwtestamentische spiegeling, belijdend gebruikt (niet als peshat).</w:t>
      </w:r>
    </w:p>
    <w:p>
      <w:pPr>
        <w:spacing w:after="70" w:line="25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Doelgroep en gewenste vorm:  </w:t>
      </w:r>
      <w:r>
        <w:rPr>
          <w:rFonts w:ascii="Arial" w:cs="Arial" w:eastAsia="Arial" w:hAnsi="Arial"/>
          <w:sz w:val="20"/>
          <w:szCs w:val="20"/>
        </w:rPr>
        <w:t xml:space="preserve">Studiegroep / gemeente · compacte studie en een gesproken lezing.</w:t>
      </w:r>
    </w:p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A1. Tekstblokken en peshat</w:t>
      </w:r>
    </w:p>
    <w:p>
      <w:pPr>
        <w:spacing w:after="12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→ 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Lees blok voor blok. Noteer eerst wat er stáát, dan het sleutelwoord of contrast, en pas dan een échte open vraag.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Tekstblok</w:t>
            </w:r>
          </w:p>
        </w:tc>
        <w:tc>
          <w:tcPr>
            <w:tcW w:type="pct" w:w="40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Wat staat er? (peshat)</w:t>
            </w:r>
          </w:p>
        </w:tc>
        <w:tc>
          <w:tcPr>
            <w:tcW w:type="pct" w:w="24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Sleutelwoorden / contrast</w:t>
            </w:r>
          </w:p>
        </w:tc>
        <w:tc>
          <w:tcPr>
            <w:tcW w:type="pct" w:w="22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vraag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29:10-14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Allen staan present, van hoofd tot waterputter, om ín het verbond en zijn eed te tréden; God bevestigt hen als volk — óók namens wie er ‘heden niet is’.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treden · verbond over het geslacht heen · van hoofd tot waterputter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Wie treedt hier binnen, en namens wie?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29:15-28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 wortel die gif draagt is de mens die zich in het verborgene zégent (29:18). Toorn, ballingschap. Dan 29:29: de verborgen dingen zijn voor de HEERE; de geopenbaarde voor óns en onze kinderen, ‘om te doen’.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verborgen ↔ openbaar · zich-zegenen · om te doen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Waarom is juist het heimelijke de wortel?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30:1-10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 ballingschap: terugkeer (tesjoewa), God verzamelt, en God besnijdt het hart (30:6) om Hem lief te hebben.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terugkeer · God besnijdt · hart vrijgemaakt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Wat gaat vooraf: het vrijgemaakte hart, of het liefhebben?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30:11-14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Het gebod is niet te wonderbaar, niet ver, niet in de hemel, niet over zee — nabij, in mond en hart, ‘om het te doen’ (3× la’asoto; 4QDeut-b/LXX voegen ‘en in uw handen’ toe).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nabij · in mond / hart / handen · om te doen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Wat betekent ‘nabij’ — vrijblijvend, of bereikbaar-om-te-doen?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30:15-20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‘Ik heb u het leven en de dood, de zegen en de vloek voorgesteld — kíes dan het leven.’ Hemel en aarde als getuigen.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kies · leven / dood · getuigen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Waarom wordt de keuze bij de mens gelegd?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31:1-30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Mozes (120) draagt over aan Jozua (‘wees sterk en moedig’, 31:7); de Tora elke zeven jaar hardop voorgelezen aan héél het volk incl. kinderen en vreemdeling (31:11-12); het lied en de Tora náást de ark, als getuige.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overdracht · hardop voorlezen · getuige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Waarom hoort doorgeven bij het nabije woord?</w:t>
            </w:r>
          </w:p>
        </w:tc>
      </w:tr>
    </w:tbl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A2. Verbindende hypotheses</w:t>
      </w:r>
    </w:p>
    <w:p>
      <w:pPr>
        <w:spacing w:after="12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→ 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Formuleer twee lezingen die de tekst zou kúnnen dragen, en kies met de toets: welke verklaart de meeste gegevens met de minste dwang?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Hypothese 1 (één as):  </w:t>
      </w:r>
      <w:r>
        <w:rPr>
          <w:rFonts w:ascii="Arial" w:cs="Arial" w:eastAsia="Arial" w:hAnsi="Arial"/>
          <w:sz w:val="18"/>
          <w:szCs w:val="18"/>
        </w:rPr>
        <w:t xml:space="preserve">het zwaartepunt is de Bron-as alleen — de parasja is genade: God verzamelt, besnijdt het hart (30:6), maakt het bereikbaar. Het doen blijft dan bijzaak.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Hypothese 2 (relatie):  </w:t>
      </w:r>
      <w:r>
        <w:rPr>
          <w:rFonts w:ascii="Arial" w:cs="Arial" w:eastAsia="Arial" w:hAnsi="Arial"/>
          <w:sz w:val="18"/>
          <w:szCs w:val="18"/>
        </w:rPr>
        <w:t xml:space="preserve">het zwaartepunt is de relátie — het nabije woord is nabij gebrácht (Bron) juist om gedáán en dóorgegeven te worden (Wil/Coherentie). 30:6 is de grond, 30:11-20 + heel Vayelecht de massa.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Welke verklaart de meeste gegevens met de minste dwang?  </w:t>
      </w:r>
      <w:r>
        <w:rPr>
          <w:rFonts w:ascii="Arial" w:cs="Arial" w:eastAsia="Arial" w:hAnsi="Arial"/>
          <w:sz w:val="18"/>
          <w:szCs w:val="18"/>
        </w:rPr>
        <w:t xml:space="preserve">Hypothese 2. Hypothese 1 ziet de genade, maar maakt de retorische massa (3× ‘om te doen’, ‘kies’, heel Vayelecht met de overdracht) onverklaarbaar. De relatie-lezing grondt het doen ín de gegeven nabijheid.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Wat zou deze lezing weerleggen?  </w:t>
      </w:r>
      <w:r>
        <w:rPr>
          <w:rFonts w:ascii="Arial" w:cs="Arial" w:eastAsia="Arial" w:hAnsi="Arial"/>
          <w:sz w:val="18"/>
          <w:szCs w:val="18"/>
        </w:rPr>
        <w:t xml:space="preserve">Als 30:6 (het besneden hart) als climax stond en 30:11-20 als bijzin functioneerde, lag het zwaartepunt bij Bron/ontvangen. De tekst draait dat juist om — 30:6 is vóorwaarde, geen landingsplaats.</w:t>
      </w:r>
    </w:p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A3. Vier assen</w:t>
      </w:r>
    </w:p>
    <w:p>
      <w:pPr>
        <w:spacing w:after="12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→ 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Vul per as de tekstankers en een korte diagnose in. Laat de laatste kolom staan voor wat je lezing níet glad strijkt.</w:t>
      </w:r>
    </w:p>
    <w:tbl>
      <w:tblPr>
        <w:tblW w:type="pct" w:w="100%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</w:t>
            </w:r>
          </w:p>
        </w:tc>
        <w:tc>
          <w:tcPr>
            <w:tcW w:type="pct" w:w="30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Tekstankers</w:t>
            </w:r>
          </w:p>
        </w:tc>
        <w:tc>
          <w:tcPr>
            <w:tcW w:type="pct" w:w="36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Diagnose</w:t>
            </w:r>
          </w:p>
        </w:tc>
        <w:tc>
          <w:tcPr>
            <w:tcW w:type="pct" w:w="22%"/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anomalie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Wil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29:11 (treden) · 30:2 (terugkeren/doen) · 30:11-14 (nabije doen) · 30:19 (kiezen) · 31:7,12 (overdragen, horen-leren-doen)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Dragend. Antwoord binnen bereik; het woord is náár je toe gebracht — geen zelfredzaamheid, wel echte roeping.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Waar slaat ‘gekozen doen’ om in ‘eigen kracht’ (vgl. 8:17)?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Coherentie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29:18 (heimelijk zich-zegenen) · 29:29 (verborgen ↔ openbaar, om te doen) · 31:19 (lied als getuige)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Dragend, tweede pool. Geen kloof tussen verborgen hart en openbare daad; arvut — het volk staat als één lichaam borg.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 nekudot op ‘ons en onze kinderen’ — waarom een teken op juist de doorgegeven verantwoordelijkheid?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30:3-6 (God verzamelt, besnijdt het hart)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Reîel, maar draagt hier niet het gewicht — grond, geen climax. Het vrijgemaakte hart maakt het doen bereikbaar.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Waarom staat 30:6 vóóraf en niet als landingsplaats?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Traject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ballingschap → terugkeer (30:1-5) · Mozes → Jozua (31:7) · geslacht → geslacht (31:12-13)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Stijgend; voedt de ‘doorgeven’-kant, maar staat in dienst van Wil, niet als eigen kern.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48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 ‘tot in eeuwigheid’ (29:29) een grens, of een belofte?</w:t>
            </w:r>
          </w:p>
        </w:tc>
      </w:tr>
    </w:tbl>
    <w:p>
      <w:pPr>
        <w:spacing w:after="60" w:line="264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Reactiviteit: de reflex legt het gewicht op ontvangen/weerloosheid (30:6 als climax) — precies wat de bronnen tegenspreken. Noteer dat als bewaking, en leg het niet als motor onder de lezing.</w:t>
      </w:r>
    </w:p>
    <w:p>
      <w:pPr>
        <w:pBdr>
          <w:bottom w:val="single" w:color="BBBBBB" w:sz="8" w:space="4"/>
        </w:pBdr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A4. Beweging</w:t>
      </w:r>
    </w:p>
    <w:p>
      <w:pPr>
        <w:spacing w:after="12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→  </w:t>
      </w: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Vat de beweging samen: wat ontmaskert de tekst, welk kader zet hij ervoor in de plaats, welke respons volgt — en vang het in één kernzin.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Wat wordt ontmaskerd?  </w:t>
      </w:r>
      <w:r>
        <w:rPr>
          <w:rFonts w:ascii="Arial" w:cs="Arial" w:eastAsia="Arial" w:hAnsi="Arial"/>
          <w:sz w:val="18"/>
          <w:szCs w:val="18"/>
        </w:rPr>
        <w:t xml:space="preserve">Het woord ver weg gemaakt — in de hemel, over zee, een last, een juk opgelegd (of jezelf een merkteken maken); en de mens die zich in het verborgene zegent en tóch zijn eigen weg gaat (29:18).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Welk kader zet de tekst ervoor in de plaats?  </w:t>
      </w:r>
      <w:r>
        <w:rPr>
          <w:rFonts w:ascii="Arial" w:cs="Arial" w:eastAsia="Arial" w:hAnsi="Arial"/>
          <w:sz w:val="18"/>
          <w:szCs w:val="18"/>
        </w:rPr>
        <w:t xml:space="preserve">Het nabije woord: God besnijdt het hart (30:6) en brengt het woord in je mond, hart en handen (30:11-14) — bereikbaar om te doen, en om door te geven.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Welke concrete respons en vorming volgen?  </w:t>
      </w:r>
      <w:r>
        <w:rPr>
          <w:rFonts w:ascii="Arial" w:cs="Arial" w:eastAsia="Arial" w:hAnsi="Arial"/>
          <w:sz w:val="18"/>
          <w:szCs w:val="18"/>
        </w:rPr>
        <w:t xml:space="preserve">Treden in het verbond; kiezen voor het leven; het woord hardop voorlezen en in de hand van je kind leggen (31:11-12); en de zelftoets — doe ik uit ontvangen nabijheid, of grijp ik en zegen ik mijzelf heimelijk?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Kernzin: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Het woord is niet ver — God bracht het nabij en maakte het hart vrij; dus tree binnen, kies, doe het, en geef het door.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Horizon </w:t>
      </w: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(niet het thema van deze week, wel de grond): onder dit alles ligt ontvangen of grijpen. Het nabije-woord-om-te-doen is de ontvangen-vorm; het heimelijke zich-zegenen de gegrepen-vorm. In het evangelie wordt het nabije woord een Persoon (Joh. 12): een Mond die ‘niet uit Zichzelf’ spreekt, het Licht dat naar ons toe kwam.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Werkblad — Nitzavim/Vayelech (Bijlage A ingevuld)</dc:title>
  <dc:creator>Arie Alberts</dc:creator>
  <cp:lastModifiedBy>Un-named</cp:lastModifiedBy>
  <cp:revision>1</cp:revision>
  <dcterms:created xsi:type="dcterms:W3CDTF">2026-09-03T06:25:27.245Z</dcterms:created>
  <dcterms:modified xsi:type="dcterms:W3CDTF">2026-09-03T06:25:27.245Z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